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9503" w14:textId="618FC953" w:rsidR="00F506E3" w:rsidRDefault="009F5151" w:rsidP="009F5151">
      <w:pPr>
        <w:pStyle w:val="Title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7B5752A2" wp14:editId="6009FD1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1B283" id="Graphic 1" o:spid="_x0000_s1026" style="position:absolute;margin-left:0;margin-top:0;width:595.45pt;height:842.0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" path="m7562215,l,,,10694035r7562215,l7562215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642B59B4" wp14:editId="4C1C4BCB">
            <wp:extent cx="3343275" cy="3343275"/>
            <wp:effectExtent l="0" t="0" r="0" b="0"/>
            <wp:docPr id="1666576683" name="Picture 2" descr="A white circle with colorful lines and sta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76683" name="Picture 2" descr="A white circle with colorful lines and stars on a black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effectLst>
                      <a:outerShdw blurRad="279400" dist="50800" dir="540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8373C6" w14:textId="77777777" w:rsidR="00F506E3" w:rsidRDefault="00F506E3">
      <w:pPr>
        <w:pStyle w:val="Title"/>
        <w:spacing w:before="1"/>
        <w:rPr>
          <w:sz w:val="10"/>
        </w:rPr>
      </w:pPr>
    </w:p>
    <w:tbl>
      <w:tblPr>
        <w:tblW w:w="0" w:type="auto"/>
        <w:tblInd w:w="24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0"/>
        <w:gridCol w:w="7648"/>
      </w:tblGrid>
      <w:tr w:rsidR="00F506E3" w14:paraId="470AC110" w14:textId="77777777">
        <w:trPr>
          <w:trHeight w:val="36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9FD4B0B" w14:textId="77777777" w:rsidR="00F506E3" w:rsidRDefault="009F5151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pacing w:val="-2"/>
                <w:sz w:val="24"/>
              </w:rPr>
              <w:t>Gwobr</w:t>
            </w:r>
            <w:proofErr w:type="spellEnd"/>
          </w:p>
        </w:tc>
        <w:tc>
          <w:tcPr>
            <w:tcW w:w="76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534D637" w14:textId="77777777" w:rsidR="00F506E3" w:rsidRDefault="009F5151">
            <w:pPr>
              <w:pStyle w:val="TableParagraph"/>
              <w:spacing w:before="9"/>
              <w:ind w:left="132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Meini</w:t>
            </w:r>
            <w:proofErr w:type="spellEnd"/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4"/>
              </w:rPr>
              <w:t>prawf</w:t>
            </w:r>
            <w:proofErr w:type="spellEnd"/>
          </w:p>
        </w:tc>
      </w:tr>
      <w:tr w:rsidR="00F506E3" w14:paraId="68B39B66" w14:textId="77777777">
        <w:trPr>
          <w:trHeight w:val="1740"/>
        </w:trPr>
        <w:tc>
          <w:tcPr>
            <w:tcW w:w="2810" w:type="dxa"/>
            <w:tcBorders>
              <w:top w:val="nil"/>
              <w:right w:val="nil"/>
            </w:tcBorders>
          </w:tcPr>
          <w:p w14:paraId="029D6ECA" w14:textId="77777777" w:rsidR="00F506E3" w:rsidRDefault="00F506E3">
            <w:pPr>
              <w:pStyle w:val="TableParagraph"/>
              <w:rPr>
                <w:rFonts w:ascii="Times New Roman"/>
                <w:sz w:val="24"/>
              </w:rPr>
            </w:pPr>
          </w:p>
          <w:p w14:paraId="6CAFE50A" w14:textId="77777777" w:rsidR="00F506E3" w:rsidRDefault="00F506E3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5640BF71" w14:textId="0CFD4392" w:rsidR="005867CF" w:rsidRPr="005867CF" w:rsidRDefault="005867CF" w:rsidP="005867CF">
            <w:pPr>
              <w:pStyle w:val="TableParagraph"/>
              <w:ind w:left="132" w:right="96"/>
              <w:jc w:val="center"/>
              <w:rPr>
                <w:b/>
                <w:bCs/>
                <w:sz w:val="24"/>
              </w:rPr>
            </w:pPr>
            <w:r w:rsidRPr="005867CF">
              <w:rPr>
                <w:b/>
                <w:bCs/>
                <w:sz w:val="24"/>
              </w:rPr>
              <w:t xml:space="preserve">Aelod Staff </w:t>
            </w:r>
            <w:proofErr w:type="spellStart"/>
            <w:r w:rsidRPr="005867CF">
              <w:rPr>
                <w:b/>
                <w:bCs/>
                <w:sz w:val="24"/>
              </w:rPr>
              <w:t>sy’n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Fyfyriwr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Flwyddyn</w:t>
            </w:r>
            <w:proofErr w:type="spellEnd"/>
          </w:p>
          <w:p w14:paraId="32F2B08A" w14:textId="6DB1BA30" w:rsidR="00F506E3" w:rsidRDefault="00F506E3">
            <w:pPr>
              <w:pStyle w:val="TableParagraph"/>
              <w:spacing w:before="1"/>
              <w:ind w:left="732" w:right="39" w:hanging="589"/>
              <w:rPr>
                <w:b/>
                <w:sz w:val="24"/>
              </w:rPr>
            </w:pPr>
          </w:p>
        </w:tc>
        <w:tc>
          <w:tcPr>
            <w:tcW w:w="7648" w:type="dxa"/>
            <w:tcBorders>
              <w:top w:val="nil"/>
              <w:left w:val="nil"/>
            </w:tcBorders>
          </w:tcPr>
          <w:p w14:paraId="3196EB68" w14:textId="440A0C57" w:rsidR="005867CF" w:rsidRPr="005867CF" w:rsidRDefault="005867CF" w:rsidP="005867CF">
            <w:pPr>
              <w:pStyle w:val="TableParagraph"/>
              <w:ind w:left="132" w:right="96"/>
              <w:jc w:val="both"/>
              <w:rPr>
                <w:sz w:val="24"/>
              </w:rPr>
            </w:pPr>
            <w:proofErr w:type="spellStart"/>
            <w:r w:rsidRPr="005867CF">
              <w:rPr>
                <w:sz w:val="24"/>
              </w:rPr>
              <w:t>Mae'r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wobr</w:t>
            </w:r>
            <w:proofErr w:type="spellEnd"/>
            <w:r w:rsidRPr="005867CF">
              <w:rPr>
                <w:sz w:val="24"/>
              </w:rPr>
              <w:t xml:space="preserve"> hon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dathlu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myfyrwyr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sydd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ar</w:t>
            </w:r>
            <w:proofErr w:type="spellEnd"/>
            <w:r w:rsidRPr="005867CF">
              <w:rPr>
                <w:sz w:val="24"/>
              </w:rPr>
              <w:t xml:space="preserve"> y </w:t>
            </w:r>
            <w:proofErr w:type="spellStart"/>
            <w:r w:rsidRPr="005867CF">
              <w:rPr>
                <w:sz w:val="24"/>
              </w:rPr>
              <w:t>cyd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â'u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hastudiaethau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wedi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cymryd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swydd</w:t>
            </w:r>
            <w:proofErr w:type="spellEnd"/>
            <w:r w:rsidRPr="005867CF">
              <w:rPr>
                <w:sz w:val="24"/>
              </w:rPr>
              <w:t xml:space="preserve"> staff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y </w:t>
            </w:r>
            <w:proofErr w:type="spellStart"/>
            <w:r w:rsidRPr="005867CF">
              <w:rPr>
                <w:sz w:val="24"/>
              </w:rPr>
              <w:t>Brifysgol</w:t>
            </w:r>
            <w:proofErr w:type="spellEnd"/>
            <w:r w:rsidRPr="005867CF">
              <w:rPr>
                <w:sz w:val="24"/>
              </w:rPr>
              <w:t xml:space="preserve"> neu </w:t>
            </w:r>
            <w:proofErr w:type="spellStart"/>
            <w:r w:rsidRPr="005867CF">
              <w:rPr>
                <w:sz w:val="24"/>
              </w:rPr>
              <w:t>Undeb</w:t>
            </w:r>
            <w:proofErr w:type="spellEnd"/>
            <w:r w:rsidRPr="005867CF">
              <w:rPr>
                <w:sz w:val="24"/>
              </w:rPr>
              <w:t xml:space="preserve"> y </w:t>
            </w:r>
            <w:proofErr w:type="spellStart"/>
            <w:r w:rsidRPr="005867CF">
              <w:rPr>
                <w:sz w:val="24"/>
              </w:rPr>
              <w:t>Myfyrwyr</w:t>
            </w:r>
            <w:proofErr w:type="spellEnd"/>
            <w:r w:rsidRPr="005867CF">
              <w:rPr>
                <w:sz w:val="24"/>
              </w:rPr>
              <w:t xml:space="preserve">. Boed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gweithio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ym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maes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lletygarwch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llety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adrannau</w:t>
            </w:r>
            <w:proofErr w:type="spellEnd"/>
            <w:r w:rsidRPr="005867CF">
              <w:rPr>
                <w:sz w:val="24"/>
              </w:rPr>
              <w:t xml:space="preserve">, y </w:t>
            </w:r>
            <w:proofErr w:type="spellStart"/>
            <w:r w:rsidRPr="005867CF">
              <w:rPr>
                <w:sz w:val="24"/>
              </w:rPr>
              <w:t>Ganolfan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Chwaraeon</w:t>
            </w:r>
            <w:proofErr w:type="spellEnd"/>
            <w:r w:rsidRPr="005867CF">
              <w:rPr>
                <w:sz w:val="24"/>
              </w:rPr>
              <w:t xml:space="preserve">, neu </w:t>
            </w:r>
            <w:proofErr w:type="spellStart"/>
            <w:r w:rsidRPr="005867CF">
              <w:rPr>
                <w:sz w:val="24"/>
              </w:rPr>
              <w:t>wasanaethau’r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Undeb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mae’r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myfyrwyr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dangos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proffesiynoldeb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agwedd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gadarnhaol</w:t>
            </w:r>
            <w:proofErr w:type="spellEnd"/>
            <w:r w:rsidRPr="005867CF">
              <w:rPr>
                <w:sz w:val="24"/>
              </w:rPr>
              <w:t xml:space="preserve">, ac </w:t>
            </w:r>
            <w:proofErr w:type="spellStart"/>
            <w:r w:rsidRPr="005867CF">
              <w:rPr>
                <w:sz w:val="24"/>
              </w:rPr>
              <w:t>ymrwymiad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ddarparu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gwasanaeth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rhagorol</w:t>
            </w:r>
            <w:proofErr w:type="spellEnd"/>
            <w:r w:rsidRPr="005867CF">
              <w:rPr>
                <w:sz w:val="24"/>
              </w:rPr>
              <w:t xml:space="preserve">. </w:t>
            </w:r>
            <w:proofErr w:type="spellStart"/>
            <w:r w:rsidRPr="005867CF">
              <w:rPr>
                <w:sz w:val="24"/>
              </w:rPr>
              <w:t>Maent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mynd</w:t>
            </w:r>
            <w:proofErr w:type="spellEnd"/>
            <w:r w:rsidRPr="005867CF">
              <w:rPr>
                <w:sz w:val="24"/>
              </w:rPr>
              <w:t xml:space="preserve"> y </w:t>
            </w:r>
            <w:proofErr w:type="spellStart"/>
            <w:r w:rsidRPr="005867CF">
              <w:rPr>
                <w:sz w:val="24"/>
              </w:rPr>
              <w:t>tu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hwnt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i’r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disgwyl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swyddi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gan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wneud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gwahaniaeth</w:t>
            </w:r>
            <w:proofErr w:type="spellEnd"/>
            <w:r w:rsidRPr="005867CF">
              <w:rPr>
                <w:sz w:val="24"/>
              </w:rPr>
              <w:t xml:space="preserve"> go </w:t>
            </w:r>
            <w:proofErr w:type="spellStart"/>
            <w:r w:rsidRPr="005867CF">
              <w:rPr>
                <w:sz w:val="24"/>
              </w:rPr>
              <w:t>iawn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addysgu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dysgu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a’r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profiad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myfyriwr</w:t>
            </w:r>
            <w:proofErr w:type="spellEnd"/>
            <w:r w:rsidRPr="005867CF">
              <w:rPr>
                <w:sz w:val="24"/>
              </w:rPr>
              <w:t xml:space="preserve">. </w:t>
            </w:r>
          </w:p>
          <w:p w14:paraId="05D1C7A8" w14:textId="77777777" w:rsidR="005867CF" w:rsidRPr="005867CF" w:rsidRDefault="005867CF" w:rsidP="005867CF">
            <w:pPr>
              <w:pStyle w:val="TableParagraph"/>
              <w:ind w:left="132" w:right="96"/>
              <w:jc w:val="both"/>
              <w:rPr>
                <w:sz w:val="24"/>
              </w:rPr>
            </w:pPr>
            <w:r w:rsidRPr="005867CF">
              <w:rPr>
                <w:sz w:val="24"/>
              </w:rPr>
              <w:t xml:space="preserve"> </w:t>
            </w:r>
          </w:p>
          <w:p w14:paraId="6AF233A1" w14:textId="6B15F2A1" w:rsidR="00F506E3" w:rsidRPr="005867CF" w:rsidRDefault="005867CF" w:rsidP="005867CF">
            <w:pPr>
              <w:pStyle w:val="TableParagraph"/>
              <w:spacing w:line="290" w:lineRule="atLeast"/>
              <w:ind w:left="132" w:right="102"/>
              <w:jc w:val="both"/>
              <w:rPr>
                <w:b/>
                <w:bCs/>
                <w:sz w:val="24"/>
              </w:rPr>
            </w:pPr>
            <w:r w:rsidRPr="005867CF">
              <w:rPr>
                <w:b/>
                <w:bCs/>
                <w:sz w:val="24"/>
              </w:rPr>
              <w:t xml:space="preserve">Gall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a staff </w:t>
            </w:r>
            <w:proofErr w:type="spellStart"/>
            <w:r w:rsidRPr="005867CF">
              <w:rPr>
                <w:b/>
                <w:bCs/>
                <w:sz w:val="24"/>
              </w:rPr>
              <w:t>enwebu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ar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gyfer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wobr</w:t>
            </w:r>
            <w:proofErr w:type="spellEnd"/>
            <w:r w:rsidRPr="005867CF">
              <w:rPr>
                <w:b/>
                <w:bCs/>
                <w:sz w:val="24"/>
              </w:rPr>
              <w:t xml:space="preserve"> hon.</w:t>
            </w:r>
          </w:p>
        </w:tc>
      </w:tr>
      <w:tr w:rsidR="00F506E3" w14:paraId="77AE621A" w14:textId="77777777">
        <w:trPr>
          <w:trHeight w:val="1737"/>
        </w:trPr>
        <w:tc>
          <w:tcPr>
            <w:tcW w:w="2810" w:type="dxa"/>
            <w:tcBorders>
              <w:right w:val="nil"/>
            </w:tcBorders>
            <w:shd w:val="clear" w:color="auto" w:fill="BEBEBE"/>
          </w:tcPr>
          <w:p w14:paraId="4D5D9842" w14:textId="77777777" w:rsidR="00F506E3" w:rsidRDefault="00F506E3">
            <w:pPr>
              <w:pStyle w:val="TableParagraph"/>
              <w:rPr>
                <w:rFonts w:ascii="Times New Roman"/>
                <w:sz w:val="24"/>
              </w:rPr>
            </w:pPr>
          </w:p>
          <w:p w14:paraId="10F7D2B3" w14:textId="4007BC91" w:rsidR="00F506E3" w:rsidRPr="005867CF" w:rsidRDefault="005867CF">
            <w:pPr>
              <w:pStyle w:val="TableParagraph"/>
              <w:ind w:left="835" w:right="39" w:hanging="161"/>
              <w:rPr>
                <w:b/>
                <w:bCs/>
                <w:sz w:val="24"/>
              </w:rPr>
            </w:pPr>
            <w:proofErr w:type="spellStart"/>
            <w:r w:rsidRPr="005867CF">
              <w:rPr>
                <w:b/>
                <w:bCs/>
                <w:sz w:val="24"/>
              </w:rPr>
              <w:t>Darlithydd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Flwyddyn</w:t>
            </w:r>
            <w:proofErr w:type="spellEnd"/>
          </w:p>
        </w:tc>
        <w:tc>
          <w:tcPr>
            <w:tcW w:w="7648" w:type="dxa"/>
            <w:tcBorders>
              <w:left w:val="nil"/>
            </w:tcBorders>
            <w:shd w:val="clear" w:color="auto" w:fill="BEBEBE"/>
          </w:tcPr>
          <w:p w14:paraId="1D8B8CF0" w14:textId="0DFF81D6" w:rsidR="005867CF" w:rsidRPr="005867CF" w:rsidRDefault="005867CF" w:rsidP="005867CF">
            <w:pPr>
              <w:pStyle w:val="TableParagraph"/>
              <w:ind w:right="98"/>
              <w:jc w:val="both"/>
              <w:rPr>
                <w:sz w:val="24"/>
              </w:rPr>
            </w:pPr>
            <w:proofErr w:type="spellStart"/>
            <w:r w:rsidRPr="005867CF">
              <w:rPr>
                <w:sz w:val="24"/>
              </w:rPr>
              <w:t>Dyfarnir</w:t>
            </w:r>
            <w:proofErr w:type="spellEnd"/>
            <w:r w:rsidRPr="005867CF">
              <w:rPr>
                <w:sz w:val="24"/>
              </w:rPr>
              <w:t xml:space="preserve"> hon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ddarlithydd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sy'n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gwneud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cyfraniad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sylweddol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brofiad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academaidd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myfyrwyr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boed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hynny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drwy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ennyn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brwdfrydedd</w:t>
            </w:r>
            <w:proofErr w:type="spellEnd"/>
            <w:r w:rsidRPr="005867CF">
              <w:rPr>
                <w:sz w:val="24"/>
              </w:rPr>
              <w:t xml:space="preserve"> am y </w:t>
            </w:r>
            <w:proofErr w:type="spellStart"/>
            <w:r w:rsidRPr="005867CF">
              <w:rPr>
                <w:sz w:val="24"/>
              </w:rPr>
              <w:t>pwnc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mewn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myfyrwyr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sbarduno’r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ystafell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ddarlithio</w:t>
            </w:r>
            <w:proofErr w:type="spellEnd"/>
            <w:r w:rsidRPr="005867CF">
              <w:rPr>
                <w:sz w:val="24"/>
              </w:rPr>
              <w:t xml:space="preserve"> neu </w:t>
            </w:r>
            <w:proofErr w:type="spellStart"/>
            <w:r w:rsidRPr="005867CF">
              <w:rPr>
                <w:sz w:val="24"/>
              </w:rPr>
              <w:t>ymdrechu’n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arbennig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wneud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eich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dosbarthiadau'n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ddiddorol</w:t>
            </w:r>
            <w:proofErr w:type="spellEnd"/>
            <w:r w:rsidRPr="005867CF">
              <w:rPr>
                <w:sz w:val="24"/>
              </w:rPr>
              <w:t xml:space="preserve">. </w:t>
            </w:r>
            <w:proofErr w:type="spellStart"/>
            <w:r w:rsidRPr="005867CF">
              <w:rPr>
                <w:sz w:val="24"/>
              </w:rPr>
              <w:t>Bydd</w:t>
            </w:r>
            <w:proofErr w:type="spellEnd"/>
            <w:r w:rsidRPr="005867CF">
              <w:rPr>
                <w:sz w:val="24"/>
              </w:rPr>
              <w:t xml:space="preserve"> y person </w:t>
            </w:r>
            <w:proofErr w:type="spellStart"/>
            <w:r w:rsidRPr="005867CF">
              <w:rPr>
                <w:sz w:val="24"/>
              </w:rPr>
              <w:t>hwn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ymgorffori’n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glir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beth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mae'n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olygu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gael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addysg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ym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Mhrifysgol</w:t>
            </w:r>
            <w:proofErr w:type="spellEnd"/>
            <w:r w:rsidRPr="005867CF">
              <w:rPr>
                <w:sz w:val="24"/>
              </w:rPr>
              <w:t xml:space="preserve"> Aberystwyth. </w:t>
            </w:r>
          </w:p>
          <w:p w14:paraId="62FFF5B5" w14:textId="77777777" w:rsidR="005867CF" w:rsidRDefault="005867CF" w:rsidP="005867CF">
            <w:pPr>
              <w:pStyle w:val="TableParagraph"/>
              <w:ind w:right="98"/>
              <w:jc w:val="both"/>
              <w:rPr>
                <w:sz w:val="24"/>
              </w:rPr>
            </w:pPr>
          </w:p>
          <w:p w14:paraId="4B402A95" w14:textId="358C50AE" w:rsidR="00F506E3" w:rsidRPr="005867CF" w:rsidRDefault="005867CF" w:rsidP="005867CF">
            <w:pPr>
              <w:pStyle w:val="TableParagraph"/>
              <w:ind w:right="98"/>
              <w:jc w:val="both"/>
              <w:rPr>
                <w:b/>
                <w:bCs/>
                <w:sz w:val="24"/>
              </w:rPr>
            </w:pPr>
            <w:r w:rsidRPr="005867CF">
              <w:rPr>
                <w:b/>
                <w:bCs/>
                <w:sz w:val="24"/>
              </w:rPr>
              <w:t xml:space="preserve">Gall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enwebu</w:t>
            </w:r>
            <w:proofErr w:type="spellEnd"/>
            <w:r w:rsidRPr="005867CF">
              <w:rPr>
                <w:b/>
                <w:bCs/>
                <w:sz w:val="24"/>
              </w:rPr>
              <w:t xml:space="preserve"> staff </w:t>
            </w:r>
            <w:proofErr w:type="spellStart"/>
            <w:r w:rsidRPr="005867CF">
              <w:rPr>
                <w:b/>
                <w:bCs/>
                <w:sz w:val="24"/>
              </w:rPr>
              <w:t>ar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gyfer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wobr</w:t>
            </w:r>
            <w:proofErr w:type="spellEnd"/>
            <w:r w:rsidRPr="005867CF">
              <w:rPr>
                <w:b/>
                <w:bCs/>
                <w:sz w:val="24"/>
              </w:rPr>
              <w:t xml:space="preserve"> hon.</w:t>
            </w:r>
          </w:p>
        </w:tc>
      </w:tr>
      <w:tr w:rsidR="00F506E3" w14:paraId="7A9BC275" w14:textId="77777777">
        <w:trPr>
          <w:trHeight w:val="2027"/>
        </w:trPr>
        <w:tc>
          <w:tcPr>
            <w:tcW w:w="2810" w:type="dxa"/>
            <w:tcBorders>
              <w:right w:val="nil"/>
            </w:tcBorders>
          </w:tcPr>
          <w:p w14:paraId="77F686B0" w14:textId="77777777" w:rsidR="00F506E3" w:rsidRDefault="00F506E3">
            <w:pPr>
              <w:pStyle w:val="TableParagraph"/>
              <w:rPr>
                <w:rFonts w:ascii="Times New Roman"/>
                <w:sz w:val="24"/>
              </w:rPr>
            </w:pPr>
          </w:p>
          <w:p w14:paraId="479A08E5" w14:textId="77777777" w:rsidR="00F506E3" w:rsidRDefault="00F506E3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05DCCBA5" w14:textId="027D35F0" w:rsidR="005867CF" w:rsidRPr="005867CF" w:rsidRDefault="005867CF" w:rsidP="005867CF">
            <w:pPr>
              <w:pStyle w:val="TableParagraph"/>
              <w:ind w:left="132" w:right="97"/>
              <w:jc w:val="center"/>
              <w:rPr>
                <w:b/>
                <w:bCs/>
                <w:sz w:val="24"/>
              </w:rPr>
            </w:pPr>
            <w:r w:rsidRPr="005867CF">
              <w:rPr>
                <w:b/>
                <w:bCs/>
                <w:sz w:val="24"/>
              </w:rPr>
              <w:t xml:space="preserve">Aelod </w:t>
            </w:r>
            <w:proofErr w:type="spellStart"/>
            <w:r w:rsidRPr="005867CF">
              <w:rPr>
                <w:b/>
                <w:bCs/>
                <w:sz w:val="24"/>
              </w:rPr>
              <w:t>Tîm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Cymorth</w:t>
            </w:r>
            <w:proofErr w:type="spellEnd"/>
            <w:r w:rsidRPr="005867CF">
              <w:rPr>
                <w:b/>
                <w:bCs/>
                <w:sz w:val="24"/>
              </w:rPr>
              <w:t>/</w:t>
            </w:r>
            <w:proofErr w:type="spellStart"/>
            <w:r w:rsidRPr="005867CF">
              <w:rPr>
                <w:b/>
                <w:bCs/>
                <w:sz w:val="24"/>
              </w:rPr>
              <w:t>Gwasanaeth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Flwyddyn</w:t>
            </w:r>
            <w:proofErr w:type="spellEnd"/>
          </w:p>
          <w:p w14:paraId="7B5415E0" w14:textId="23977E80" w:rsidR="00F506E3" w:rsidRDefault="00F506E3" w:rsidP="005867CF">
            <w:pPr>
              <w:pStyle w:val="TableParagraph"/>
              <w:ind w:left="208" w:right="181" w:hanging="3"/>
              <w:rPr>
                <w:b/>
                <w:sz w:val="24"/>
              </w:rPr>
            </w:pPr>
          </w:p>
        </w:tc>
        <w:tc>
          <w:tcPr>
            <w:tcW w:w="7648" w:type="dxa"/>
            <w:tcBorders>
              <w:left w:val="nil"/>
            </w:tcBorders>
          </w:tcPr>
          <w:p w14:paraId="62A9EC23" w14:textId="2B1AE8AC" w:rsidR="005867CF" w:rsidRPr="005867CF" w:rsidRDefault="005867CF" w:rsidP="005867CF">
            <w:pPr>
              <w:pStyle w:val="TableParagraph"/>
              <w:ind w:left="132" w:right="97"/>
              <w:jc w:val="both"/>
              <w:rPr>
                <w:sz w:val="24"/>
              </w:rPr>
            </w:pPr>
            <w:proofErr w:type="spellStart"/>
            <w:r w:rsidRPr="005867CF">
              <w:rPr>
                <w:sz w:val="24"/>
              </w:rPr>
              <w:t>Nid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darlithoedd</w:t>
            </w:r>
            <w:proofErr w:type="spellEnd"/>
            <w:r w:rsidRPr="005867CF">
              <w:rPr>
                <w:sz w:val="24"/>
              </w:rPr>
              <w:t xml:space="preserve"> a </w:t>
            </w:r>
            <w:proofErr w:type="spellStart"/>
            <w:r w:rsidRPr="005867CF">
              <w:rPr>
                <w:sz w:val="24"/>
              </w:rPr>
              <w:t>seminarau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unig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sy’n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llunio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eich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profiad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o’r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Brifysgol</w:t>
            </w:r>
            <w:proofErr w:type="spellEnd"/>
            <w:r w:rsidRPr="005867CF">
              <w:rPr>
                <w:sz w:val="24"/>
              </w:rPr>
              <w:t xml:space="preserve">. </w:t>
            </w:r>
            <w:proofErr w:type="spellStart"/>
            <w:r w:rsidRPr="005867CF">
              <w:rPr>
                <w:sz w:val="24"/>
              </w:rPr>
              <w:t>Mae’r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gwobr</w:t>
            </w:r>
            <w:proofErr w:type="spellEnd"/>
            <w:r w:rsidRPr="005867CF">
              <w:rPr>
                <w:sz w:val="24"/>
              </w:rPr>
              <w:t xml:space="preserve"> hon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cydnabod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unrhyw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aelod</w:t>
            </w:r>
            <w:proofErr w:type="spellEnd"/>
            <w:r w:rsidRPr="005867CF">
              <w:rPr>
                <w:sz w:val="24"/>
              </w:rPr>
              <w:t xml:space="preserve"> staff, </w:t>
            </w:r>
            <w:proofErr w:type="spellStart"/>
            <w:r w:rsidRPr="005867CF">
              <w:rPr>
                <w:sz w:val="24"/>
              </w:rPr>
              <w:t>mewn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unrhyw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swydd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ar</w:t>
            </w:r>
            <w:proofErr w:type="spellEnd"/>
            <w:r w:rsidRPr="005867CF">
              <w:rPr>
                <w:sz w:val="24"/>
              </w:rPr>
              <w:t xml:space="preserve"> draws y </w:t>
            </w:r>
            <w:proofErr w:type="spellStart"/>
            <w:r w:rsidRPr="005867CF">
              <w:rPr>
                <w:sz w:val="24"/>
              </w:rPr>
              <w:t>Brifysgol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sy’n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darparu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cymorth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rhagorol</w:t>
            </w:r>
            <w:proofErr w:type="spellEnd"/>
            <w:r w:rsidRPr="005867CF">
              <w:rPr>
                <w:sz w:val="24"/>
              </w:rPr>
              <w:t xml:space="preserve"> neu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helpu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wella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eich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profiad</w:t>
            </w:r>
            <w:proofErr w:type="spellEnd"/>
            <w:r w:rsidRPr="005867CF">
              <w:rPr>
                <w:sz w:val="24"/>
              </w:rPr>
              <w:t xml:space="preserve"> y </w:t>
            </w:r>
            <w:proofErr w:type="spellStart"/>
            <w:r w:rsidRPr="005867CF">
              <w:rPr>
                <w:sz w:val="24"/>
              </w:rPr>
              <w:t>tu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allan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i’r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ystafell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ddarlithio</w:t>
            </w:r>
            <w:proofErr w:type="spellEnd"/>
            <w:r w:rsidRPr="005867CF">
              <w:rPr>
                <w:sz w:val="24"/>
              </w:rPr>
              <w:t xml:space="preserve">. Gallai </w:t>
            </w:r>
            <w:proofErr w:type="spellStart"/>
            <w:r w:rsidRPr="005867CF">
              <w:rPr>
                <w:sz w:val="24"/>
              </w:rPr>
              <w:t>fod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gynghorydd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lles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sydd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wedi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eich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cefnogi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trwy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gyfnod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anodd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neu'n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aelod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o'r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tîm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lletygarwch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sy'n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mynd</w:t>
            </w:r>
            <w:proofErr w:type="spellEnd"/>
            <w:r w:rsidRPr="005867CF">
              <w:rPr>
                <w:sz w:val="24"/>
              </w:rPr>
              <w:t xml:space="preserve"> y </w:t>
            </w:r>
            <w:proofErr w:type="spellStart"/>
            <w:r w:rsidRPr="005867CF">
              <w:rPr>
                <w:sz w:val="24"/>
              </w:rPr>
              <w:t>filltir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ychwanegol</w:t>
            </w:r>
            <w:proofErr w:type="spellEnd"/>
            <w:r w:rsidRPr="005867CF">
              <w:rPr>
                <w:sz w:val="24"/>
              </w:rPr>
              <w:t xml:space="preserve"> bob </w:t>
            </w:r>
            <w:proofErr w:type="spellStart"/>
            <w:r w:rsidRPr="005867CF">
              <w:rPr>
                <w:sz w:val="24"/>
              </w:rPr>
              <w:t>amser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roi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croeso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chi. </w:t>
            </w:r>
          </w:p>
          <w:p w14:paraId="2BD4DA40" w14:textId="77777777" w:rsidR="005867CF" w:rsidRPr="005867CF" w:rsidRDefault="005867CF" w:rsidP="005867CF">
            <w:pPr>
              <w:pStyle w:val="TableParagraph"/>
              <w:ind w:left="132" w:right="97"/>
              <w:jc w:val="both"/>
              <w:rPr>
                <w:sz w:val="24"/>
              </w:rPr>
            </w:pPr>
            <w:r w:rsidRPr="005867CF">
              <w:rPr>
                <w:sz w:val="24"/>
              </w:rPr>
              <w:t xml:space="preserve"> </w:t>
            </w:r>
          </w:p>
          <w:p w14:paraId="76501DFF" w14:textId="4319309B" w:rsidR="00F506E3" w:rsidRPr="005867CF" w:rsidRDefault="005867CF" w:rsidP="005867CF">
            <w:pPr>
              <w:pStyle w:val="TableParagraph"/>
              <w:ind w:left="132" w:right="97"/>
              <w:jc w:val="both"/>
              <w:rPr>
                <w:b/>
                <w:bCs/>
                <w:sz w:val="24"/>
              </w:rPr>
            </w:pPr>
            <w:r w:rsidRPr="005867CF">
              <w:rPr>
                <w:b/>
                <w:bCs/>
                <w:sz w:val="24"/>
              </w:rPr>
              <w:t xml:space="preserve">Gall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enwebu</w:t>
            </w:r>
            <w:proofErr w:type="spellEnd"/>
            <w:r w:rsidRPr="005867CF">
              <w:rPr>
                <w:b/>
                <w:bCs/>
                <w:sz w:val="24"/>
              </w:rPr>
              <w:t xml:space="preserve"> staff </w:t>
            </w:r>
            <w:proofErr w:type="spellStart"/>
            <w:r w:rsidRPr="005867CF">
              <w:rPr>
                <w:b/>
                <w:bCs/>
                <w:sz w:val="24"/>
              </w:rPr>
              <w:t>ar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gyfer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wobr</w:t>
            </w:r>
            <w:proofErr w:type="spellEnd"/>
            <w:r w:rsidRPr="005867CF">
              <w:rPr>
                <w:b/>
                <w:bCs/>
                <w:sz w:val="24"/>
              </w:rPr>
              <w:t xml:space="preserve"> hon.</w:t>
            </w:r>
          </w:p>
        </w:tc>
      </w:tr>
      <w:tr w:rsidR="00F506E3" w14:paraId="321F5788" w14:textId="77777777">
        <w:trPr>
          <w:trHeight w:val="1449"/>
        </w:trPr>
        <w:tc>
          <w:tcPr>
            <w:tcW w:w="2810" w:type="dxa"/>
            <w:tcBorders>
              <w:right w:val="nil"/>
            </w:tcBorders>
            <w:shd w:val="clear" w:color="auto" w:fill="BEBEBE"/>
          </w:tcPr>
          <w:p w14:paraId="44800867" w14:textId="77777777" w:rsidR="00F506E3" w:rsidRDefault="00F506E3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14:paraId="1542792C" w14:textId="7FC7F225" w:rsidR="005867CF" w:rsidRPr="005867CF" w:rsidRDefault="005867CF" w:rsidP="005867CF">
            <w:pPr>
              <w:pStyle w:val="TableParagraph"/>
              <w:ind w:left="132" w:right="98"/>
              <w:jc w:val="center"/>
              <w:rPr>
                <w:b/>
                <w:bCs/>
                <w:sz w:val="24"/>
              </w:rPr>
            </w:pPr>
            <w:proofErr w:type="spellStart"/>
            <w:r w:rsidRPr="005867CF">
              <w:rPr>
                <w:b/>
                <w:bCs/>
                <w:sz w:val="24"/>
              </w:rPr>
              <w:t>Cynrychiolydd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Academaidd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Flwyddyn</w:t>
            </w:r>
            <w:proofErr w:type="spellEnd"/>
          </w:p>
          <w:p w14:paraId="7ECF21AB" w14:textId="58F0498D" w:rsidR="00F506E3" w:rsidRDefault="00F506E3">
            <w:pPr>
              <w:pStyle w:val="TableParagraph"/>
              <w:ind w:left="28" w:right="2"/>
              <w:jc w:val="center"/>
              <w:rPr>
                <w:b/>
                <w:sz w:val="24"/>
              </w:rPr>
            </w:pPr>
          </w:p>
        </w:tc>
        <w:tc>
          <w:tcPr>
            <w:tcW w:w="7648" w:type="dxa"/>
            <w:tcBorders>
              <w:left w:val="nil"/>
            </w:tcBorders>
            <w:shd w:val="clear" w:color="auto" w:fill="BEBEBE"/>
          </w:tcPr>
          <w:p w14:paraId="1F36FB25" w14:textId="24DF8C7E" w:rsidR="005867CF" w:rsidRPr="005867CF" w:rsidRDefault="005867CF" w:rsidP="005867CF">
            <w:pPr>
              <w:pStyle w:val="TableParagraph"/>
              <w:ind w:right="98"/>
              <w:jc w:val="both"/>
              <w:rPr>
                <w:sz w:val="24"/>
              </w:rPr>
            </w:pPr>
            <w:proofErr w:type="spellStart"/>
            <w:r w:rsidRPr="005867CF">
              <w:rPr>
                <w:sz w:val="24"/>
              </w:rPr>
              <w:t>Mae'r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wobr</w:t>
            </w:r>
            <w:proofErr w:type="spellEnd"/>
            <w:r w:rsidRPr="005867CF">
              <w:rPr>
                <w:sz w:val="24"/>
              </w:rPr>
              <w:t xml:space="preserve"> hon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cydnabod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Cynrychiolydd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Academaidd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sydd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wedi</w:t>
            </w:r>
            <w:proofErr w:type="spellEnd"/>
            <w:r w:rsidRPr="005867CF">
              <w:rPr>
                <w:sz w:val="24"/>
              </w:rPr>
              <w:t xml:space="preserve"> bod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weithgar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gyson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trwy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gydol</w:t>
            </w:r>
            <w:proofErr w:type="spellEnd"/>
            <w:r w:rsidRPr="005867CF">
              <w:rPr>
                <w:sz w:val="24"/>
              </w:rPr>
              <w:t xml:space="preserve"> y </w:t>
            </w:r>
            <w:proofErr w:type="spellStart"/>
            <w:r w:rsidRPr="005867CF">
              <w:rPr>
                <w:sz w:val="24"/>
              </w:rPr>
              <w:t>flwyddyn</w:t>
            </w:r>
            <w:proofErr w:type="spellEnd"/>
            <w:r w:rsidRPr="005867CF">
              <w:rPr>
                <w:sz w:val="24"/>
              </w:rPr>
              <w:t xml:space="preserve">. </w:t>
            </w:r>
            <w:proofErr w:type="spellStart"/>
            <w:r w:rsidRPr="005867CF">
              <w:rPr>
                <w:sz w:val="24"/>
              </w:rPr>
              <w:t>Maent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gweithio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ar</w:t>
            </w:r>
            <w:proofErr w:type="spellEnd"/>
            <w:r w:rsidRPr="005867CF">
              <w:rPr>
                <w:sz w:val="24"/>
              </w:rPr>
              <w:t xml:space="preserve"> ran </w:t>
            </w:r>
            <w:proofErr w:type="spellStart"/>
            <w:r w:rsidRPr="005867CF">
              <w:rPr>
                <w:sz w:val="24"/>
              </w:rPr>
              <w:t>eu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carfan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sicrhau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fod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llais</w:t>
            </w:r>
            <w:proofErr w:type="spellEnd"/>
            <w:r w:rsidRPr="005867CF">
              <w:rPr>
                <w:sz w:val="24"/>
              </w:rPr>
              <w:t xml:space="preserve"> y </w:t>
            </w:r>
            <w:proofErr w:type="spellStart"/>
            <w:r w:rsidRPr="005867CF">
              <w:rPr>
                <w:sz w:val="24"/>
              </w:rPr>
              <w:t>myfyrwyr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cael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glywed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gan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gasglu</w:t>
            </w:r>
            <w:proofErr w:type="spellEnd"/>
            <w:r w:rsidRPr="005867CF">
              <w:rPr>
                <w:sz w:val="24"/>
              </w:rPr>
              <w:t xml:space="preserve"> barn yr </w:t>
            </w:r>
            <w:proofErr w:type="spellStart"/>
            <w:r w:rsidRPr="005867CF">
              <w:rPr>
                <w:sz w:val="24"/>
              </w:rPr>
              <w:t>holl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fyfyrwyr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cwrs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a’i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chynrychioli</w:t>
            </w:r>
            <w:proofErr w:type="spellEnd"/>
            <w:r w:rsidRPr="005867CF">
              <w:rPr>
                <w:sz w:val="24"/>
              </w:rPr>
              <w:t xml:space="preserve">. </w:t>
            </w:r>
            <w:proofErr w:type="spellStart"/>
            <w:r w:rsidRPr="005867CF">
              <w:rPr>
                <w:sz w:val="24"/>
              </w:rPr>
              <w:t>Nid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ydynt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adrodd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gwybodaeth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ôl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glir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unig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ond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maent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hefyd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gweithredu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gau’r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cylch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adborth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gan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sicrhau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fod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myfyrwyr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gweld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hadborth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dwyn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ffrwyth</w:t>
            </w:r>
            <w:proofErr w:type="spellEnd"/>
            <w:r w:rsidRPr="005867CF">
              <w:rPr>
                <w:sz w:val="24"/>
              </w:rPr>
              <w:t xml:space="preserve">. </w:t>
            </w:r>
            <w:proofErr w:type="spellStart"/>
            <w:r w:rsidRPr="005867CF">
              <w:rPr>
                <w:sz w:val="24"/>
              </w:rPr>
              <w:t>Trwy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hyn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maent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dangos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sgiliau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lastRenderedPageBreak/>
              <w:t>trefnu</w:t>
            </w:r>
            <w:proofErr w:type="spellEnd"/>
            <w:r w:rsidRPr="005867CF">
              <w:rPr>
                <w:sz w:val="24"/>
              </w:rPr>
              <w:t xml:space="preserve"> a </w:t>
            </w:r>
            <w:proofErr w:type="spellStart"/>
            <w:r w:rsidRPr="005867CF">
              <w:rPr>
                <w:sz w:val="24"/>
              </w:rPr>
              <w:t>rhyngbersonol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rhagorol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tra'n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gwella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profiad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dysgu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myfyrwyr</w:t>
            </w:r>
            <w:proofErr w:type="spellEnd"/>
            <w:r w:rsidRPr="005867CF">
              <w:rPr>
                <w:sz w:val="24"/>
              </w:rPr>
              <w:t xml:space="preserve">. </w:t>
            </w:r>
          </w:p>
          <w:p w14:paraId="1B4D6D78" w14:textId="77777777" w:rsidR="005867CF" w:rsidRPr="005867CF" w:rsidRDefault="005867CF" w:rsidP="005867CF">
            <w:pPr>
              <w:pStyle w:val="TableParagraph"/>
              <w:ind w:left="132" w:right="98"/>
              <w:jc w:val="both"/>
              <w:rPr>
                <w:sz w:val="24"/>
              </w:rPr>
            </w:pPr>
            <w:r w:rsidRPr="005867CF">
              <w:rPr>
                <w:sz w:val="24"/>
              </w:rPr>
              <w:t xml:space="preserve"> </w:t>
            </w:r>
          </w:p>
          <w:p w14:paraId="4EE7EA96" w14:textId="7818386C" w:rsidR="00F506E3" w:rsidRPr="005867CF" w:rsidRDefault="005867CF" w:rsidP="005867CF">
            <w:pPr>
              <w:pStyle w:val="TableParagraph"/>
              <w:ind w:right="98"/>
              <w:jc w:val="both"/>
              <w:rPr>
                <w:b/>
                <w:bCs/>
                <w:sz w:val="24"/>
              </w:rPr>
            </w:pPr>
            <w:r w:rsidRPr="005867CF">
              <w:rPr>
                <w:b/>
                <w:bCs/>
                <w:sz w:val="24"/>
              </w:rPr>
              <w:t xml:space="preserve">Gall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a staff </w:t>
            </w:r>
            <w:proofErr w:type="spellStart"/>
            <w:r w:rsidRPr="005867CF">
              <w:rPr>
                <w:b/>
                <w:bCs/>
                <w:sz w:val="24"/>
              </w:rPr>
              <w:t>enwebu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ar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gyfer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wobr</w:t>
            </w:r>
            <w:proofErr w:type="spellEnd"/>
            <w:r w:rsidRPr="005867CF">
              <w:rPr>
                <w:b/>
                <w:bCs/>
                <w:sz w:val="24"/>
              </w:rPr>
              <w:t xml:space="preserve"> hon.</w:t>
            </w:r>
          </w:p>
        </w:tc>
      </w:tr>
      <w:tr w:rsidR="00F506E3" w14:paraId="7ED652DD" w14:textId="77777777" w:rsidTr="005867CF">
        <w:trPr>
          <w:trHeight w:val="1158"/>
        </w:trPr>
        <w:tc>
          <w:tcPr>
            <w:tcW w:w="2810" w:type="dxa"/>
            <w:tcBorders>
              <w:right w:val="nil"/>
            </w:tcBorders>
            <w:shd w:val="clear" w:color="auto" w:fill="F2F2F2" w:themeFill="background1" w:themeFillShade="F2"/>
          </w:tcPr>
          <w:p w14:paraId="47648B04" w14:textId="773601E0" w:rsidR="005867CF" w:rsidRPr="005867CF" w:rsidRDefault="005867CF" w:rsidP="005867CF">
            <w:pPr>
              <w:pStyle w:val="TableParagraph"/>
              <w:ind w:left="132" w:right="99"/>
              <w:jc w:val="center"/>
              <w:rPr>
                <w:b/>
                <w:bCs/>
                <w:sz w:val="24"/>
              </w:rPr>
            </w:pPr>
            <w:proofErr w:type="spellStart"/>
            <w:r w:rsidRPr="005867CF">
              <w:rPr>
                <w:b/>
                <w:bCs/>
                <w:sz w:val="24"/>
              </w:rPr>
              <w:lastRenderedPageBreak/>
              <w:t>Gwirfoddolwr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o'r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Flwyddyn</w:t>
            </w:r>
            <w:proofErr w:type="spellEnd"/>
          </w:p>
          <w:p w14:paraId="776DCA7A" w14:textId="7E5CC0FC" w:rsidR="00F506E3" w:rsidRPr="005867CF" w:rsidRDefault="00F506E3" w:rsidP="005867CF">
            <w:pPr>
              <w:pStyle w:val="TableParagraph"/>
              <w:spacing w:before="143"/>
              <w:ind w:left="576" w:right="550" w:hanging="4"/>
              <w:rPr>
                <w:b/>
                <w:sz w:val="24"/>
              </w:rPr>
            </w:pPr>
          </w:p>
        </w:tc>
        <w:tc>
          <w:tcPr>
            <w:tcW w:w="7648" w:type="dxa"/>
            <w:tcBorders>
              <w:left w:val="nil"/>
            </w:tcBorders>
            <w:shd w:val="clear" w:color="auto" w:fill="F2F2F2" w:themeFill="background1" w:themeFillShade="F2"/>
          </w:tcPr>
          <w:p w14:paraId="04F9EA54" w14:textId="1C07AADD" w:rsidR="005867CF" w:rsidRPr="005867CF" w:rsidRDefault="005867CF" w:rsidP="005867CF">
            <w:pPr>
              <w:pStyle w:val="TableParagraph"/>
              <w:ind w:right="99"/>
              <w:jc w:val="both"/>
              <w:rPr>
                <w:sz w:val="24"/>
              </w:rPr>
            </w:pPr>
            <w:proofErr w:type="spellStart"/>
            <w:r w:rsidRPr="005867CF">
              <w:rPr>
                <w:sz w:val="24"/>
              </w:rPr>
              <w:t>Dyfarnir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fyfyriwr</w:t>
            </w:r>
            <w:proofErr w:type="spellEnd"/>
            <w:r w:rsidRPr="005867CF">
              <w:rPr>
                <w:sz w:val="24"/>
              </w:rPr>
              <w:t xml:space="preserve"> y </w:t>
            </w:r>
            <w:proofErr w:type="spellStart"/>
            <w:r w:rsidRPr="005867CF">
              <w:rPr>
                <w:sz w:val="24"/>
              </w:rPr>
              <w:t>mae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</w:t>
            </w:r>
            <w:proofErr w:type="spellEnd"/>
            <w:r w:rsidRPr="005867CF">
              <w:rPr>
                <w:sz w:val="24"/>
              </w:rPr>
              <w:t xml:space="preserve"> g/</w:t>
            </w:r>
            <w:proofErr w:type="spellStart"/>
            <w:r w:rsidRPr="005867CF">
              <w:rPr>
                <w:sz w:val="24"/>
              </w:rPr>
              <w:t>wirfoddoli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wedi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cael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effaith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glir</w:t>
            </w:r>
            <w:proofErr w:type="spellEnd"/>
            <w:r w:rsidRPr="005867CF">
              <w:rPr>
                <w:sz w:val="24"/>
              </w:rPr>
              <w:t xml:space="preserve"> a </w:t>
            </w:r>
            <w:proofErr w:type="spellStart"/>
            <w:r w:rsidRPr="005867CF">
              <w:rPr>
                <w:sz w:val="24"/>
              </w:rPr>
              <w:t>sylweddol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grŵp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ei</w:t>
            </w:r>
            <w:proofErr w:type="spellEnd"/>
            <w:r w:rsidRPr="005867CF">
              <w:rPr>
                <w:sz w:val="24"/>
              </w:rPr>
              <w:t xml:space="preserve"> b/</w:t>
            </w:r>
            <w:proofErr w:type="spellStart"/>
            <w:r w:rsidRPr="005867CF">
              <w:rPr>
                <w:sz w:val="24"/>
              </w:rPr>
              <w:t>prosiect</w:t>
            </w:r>
            <w:proofErr w:type="spellEnd"/>
            <w:r w:rsidRPr="005867CF">
              <w:rPr>
                <w:sz w:val="24"/>
              </w:rPr>
              <w:t xml:space="preserve"> neu </w:t>
            </w:r>
            <w:proofErr w:type="spellStart"/>
            <w:r w:rsidRPr="005867CF">
              <w:rPr>
                <w:sz w:val="24"/>
              </w:rPr>
              <w:t>ei</w:t>
            </w:r>
            <w:proofErr w:type="spellEnd"/>
            <w:r w:rsidRPr="005867CF">
              <w:rPr>
                <w:sz w:val="24"/>
              </w:rPr>
              <w:t xml:space="preserve"> h/</w:t>
            </w:r>
            <w:proofErr w:type="spellStart"/>
            <w:r w:rsidRPr="005867CF">
              <w:rPr>
                <w:sz w:val="24"/>
              </w:rPr>
              <w:t>achos</w:t>
            </w:r>
            <w:proofErr w:type="spellEnd"/>
            <w:r w:rsidRPr="005867CF">
              <w:rPr>
                <w:sz w:val="24"/>
              </w:rPr>
              <w:t xml:space="preserve">. </w:t>
            </w:r>
            <w:proofErr w:type="spellStart"/>
            <w:r w:rsidRPr="005867CF">
              <w:rPr>
                <w:sz w:val="24"/>
              </w:rPr>
              <w:t>Byddant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wedi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dangos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lefel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uchel</w:t>
            </w:r>
            <w:proofErr w:type="spellEnd"/>
            <w:r w:rsidRPr="005867CF">
              <w:rPr>
                <w:sz w:val="24"/>
              </w:rPr>
              <w:t xml:space="preserve"> o </w:t>
            </w:r>
            <w:proofErr w:type="spellStart"/>
            <w:r w:rsidRPr="005867CF">
              <w:rPr>
                <w:sz w:val="24"/>
              </w:rPr>
              <w:t>ymroddiad</w:t>
            </w:r>
            <w:proofErr w:type="spellEnd"/>
            <w:r w:rsidRPr="005867CF">
              <w:rPr>
                <w:sz w:val="24"/>
              </w:rPr>
              <w:t xml:space="preserve"> ac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esiampl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cadarnhaol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gyfer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gwirfoddoli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myfyrwyr</w:t>
            </w:r>
            <w:proofErr w:type="spellEnd"/>
            <w:r w:rsidRPr="005867CF">
              <w:rPr>
                <w:sz w:val="24"/>
              </w:rPr>
              <w:t xml:space="preserve"> ac </w:t>
            </w:r>
            <w:proofErr w:type="spellStart"/>
            <w:r w:rsidRPr="005867CF">
              <w:rPr>
                <w:sz w:val="24"/>
              </w:rPr>
              <w:t>Undeb</w:t>
            </w:r>
            <w:proofErr w:type="spellEnd"/>
            <w:r w:rsidRPr="005867CF">
              <w:rPr>
                <w:sz w:val="24"/>
              </w:rPr>
              <w:t xml:space="preserve"> Aber. </w:t>
            </w:r>
          </w:p>
          <w:p w14:paraId="7395682E" w14:textId="77777777" w:rsidR="005867CF" w:rsidRDefault="005867CF" w:rsidP="005867CF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25105695" w14:textId="4684E6C2" w:rsidR="00F506E3" w:rsidRPr="005867CF" w:rsidRDefault="005867CF" w:rsidP="005867CF">
            <w:pPr>
              <w:pStyle w:val="TableParagraph"/>
              <w:ind w:right="99"/>
              <w:jc w:val="both"/>
              <w:rPr>
                <w:b/>
                <w:bCs/>
                <w:sz w:val="24"/>
              </w:rPr>
            </w:pPr>
            <w:r w:rsidRPr="005867CF">
              <w:rPr>
                <w:b/>
                <w:bCs/>
                <w:sz w:val="24"/>
              </w:rPr>
              <w:t xml:space="preserve">Gall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a staff </w:t>
            </w:r>
            <w:proofErr w:type="spellStart"/>
            <w:r w:rsidRPr="005867CF">
              <w:rPr>
                <w:b/>
                <w:bCs/>
                <w:sz w:val="24"/>
              </w:rPr>
              <w:t>enwebu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ar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gyfer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wobr</w:t>
            </w:r>
            <w:proofErr w:type="spellEnd"/>
            <w:r w:rsidRPr="005867CF">
              <w:rPr>
                <w:b/>
                <w:bCs/>
                <w:sz w:val="24"/>
              </w:rPr>
              <w:t xml:space="preserve"> hon.</w:t>
            </w:r>
          </w:p>
        </w:tc>
      </w:tr>
      <w:tr w:rsidR="00F506E3" w14:paraId="781AC75D" w14:textId="77777777">
        <w:trPr>
          <w:trHeight w:val="1737"/>
        </w:trPr>
        <w:tc>
          <w:tcPr>
            <w:tcW w:w="2810" w:type="dxa"/>
            <w:tcBorders>
              <w:right w:val="nil"/>
            </w:tcBorders>
            <w:shd w:val="clear" w:color="auto" w:fill="BEBEBE"/>
          </w:tcPr>
          <w:p w14:paraId="7F35E616" w14:textId="77777777" w:rsidR="00F506E3" w:rsidRDefault="00F506E3">
            <w:pPr>
              <w:pStyle w:val="TableParagraph"/>
              <w:rPr>
                <w:rFonts w:ascii="Times New Roman"/>
                <w:sz w:val="24"/>
              </w:rPr>
            </w:pPr>
          </w:p>
          <w:p w14:paraId="51C8D94B" w14:textId="77777777" w:rsidR="00F506E3" w:rsidRDefault="00F506E3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3AAB9A34" w14:textId="64479CA6" w:rsidR="005867CF" w:rsidRPr="005867CF" w:rsidRDefault="005867CF" w:rsidP="005867CF">
            <w:pPr>
              <w:pStyle w:val="TableParagraph"/>
              <w:ind w:left="132" w:right="98"/>
              <w:jc w:val="center"/>
              <w:rPr>
                <w:b/>
                <w:bCs/>
                <w:sz w:val="24"/>
              </w:rPr>
            </w:pPr>
            <w:proofErr w:type="spellStart"/>
            <w:r w:rsidRPr="005867CF">
              <w:rPr>
                <w:b/>
                <w:bCs/>
                <w:sz w:val="24"/>
              </w:rPr>
              <w:t>Goruchwyliwr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Flwyddyn</w:t>
            </w:r>
            <w:proofErr w:type="spellEnd"/>
          </w:p>
          <w:p w14:paraId="21450377" w14:textId="5A885181" w:rsidR="00F506E3" w:rsidRDefault="00F506E3" w:rsidP="005867CF">
            <w:pPr>
              <w:pStyle w:val="TableParagraph"/>
              <w:ind w:left="835" w:right="327" w:hanging="486"/>
              <w:jc w:val="center"/>
              <w:rPr>
                <w:b/>
                <w:sz w:val="24"/>
              </w:rPr>
            </w:pPr>
          </w:p>
        </w:tc>
        <w:tc>
          <w:tcPr>
            <w:tcW w:w="7648" w:type="dxa"/>
            <w:tcBorders>
              <w:left w:val="nil"/>
            </w:tcBorders>
            <w:shd w:val="clear" w:color="auto" w:fill="BEBEBE"/>
          </w:tcPr>
          <w:p w14:paraId="523ED0A3" w14:textId="0A204B49" w:rsidR="005867CF" w:rsidRPr="005867CF" w:rsidRDefault="005867CF" w:rsidP="005867CF">
            <w:pPr>
              <w:pStyle w:val="TableParagraph"/>
              <w:ind w:right="98"/>
              <w:jc w:val="both"/>
              <w:rPr>
                <w:sz w:val="24"/>
              </w:rPr>
            </w:pPr>
            <w:proofErr w:type="spellStart"/>
            <w:r w:rsidRPr="005867CF">
              <w:rPr>
                <w:sz w:val="24"/>
              </w:rPr>
              <w:t>Dyfarnir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oruchwyliwr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israddedig</w:t>
            </w:r>
            <w:proofErr w:type="spellEnd"/>
            <w:r w:rsidRPr="005867CF">
              <w:rPr>
                <w:sz w:val="24"/>
              </w:rPr>
              <w:t xml:space="preserve"> neu </w:t>
            </w:r>
            <w:proofErr w:type="spellStart"/>
            <w:r w:rsidRPr="005867CF">
              <w:rPr>
                <w:sz w:val="24"/>
              </w:rPr>
              <w:t>ôl-raddedig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sy'n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rhoi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goruchwyliaeth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rhagorol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fel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rhan</w:t>
            </w:r>
            <w:proofErr w:type="spellEnd"/>
            <w:r w:rsidRPr="005867CF">
              <w:rPr>
                <w:sz w:val="24"/>
              </w:rPr>
              <w:t xml:space="preserve"> o </w:t>
            </w:r>
            <w:proofErr w:type="spellStart"/>
            <w:r w:rsidRPr="005867CF">
              <w:rPr>
                <w:sz w:val="24"/>
              </w:rPr>
              <w:t>brosiect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traethawd</w:t>
            </w:r>
            <w:proofErr w:type="spellEnd"/>
            <w:r w:rsidRPr="005867CF">
              <w:rPr>
                <w:sz w:val="24"/>
              </w:rPr>
              <w:t xml:space="preserve"> neu </w:t>
            </w:r>
            <w:proofErr w:type="spellStart"/>
            <w:r w:rsidRPr="005867CF">
              <w:rPr>
                <w:sz w:val="24"/>
              </w:rPr>
              <w:t>draethawd</w:t>
            </w:r>
            <w:proofErr w:type="spellEnd"/>
            <w:r w:rsidRPr="005867CF">
              <w:rPr>
                <w:sz w:val="24"/>
              </w:rPr>
              <w:t xml:space="preserve"> hir. Boed </w:t>
            </w:r>
            <w:proofErr w:type="spellStart"/>
            <w:r w:rsidRPr="005867CF">
              <w:rPr>
                <w:sz w:val="24"/>
              </w:rPr>
              <w:t>trwy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ysgogi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rhoi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adborth</w:t>
            </w:r>
            <w:proofErr w:type="spellEnd"/>
            <w:r w:rsidRPr="005867CF">
              <w:rPr>
                <w:sz w:val="24"/>
              </w:rPr>
              <w:t xml:space="preserve"> a </w:t>
            </w:r>
            <w:proofErr w:type="spellStart"/>
            <w:r w:rsidRPr="005867CF">
              <w:rPr>
                <w:sz w:val="24"/>
              </w:rPr>
              <w:t>chyfarwyddyd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eithriadol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sydd</w:t>
            </w:r>
            <w:proofErr w:type="spellEnd"/>
            <w:r w:rsidRPr="005867CF">
              <w:rPr>
                <w:sz w:val="24"/>
              </w:rPr>
              <w:t xml:space="preserve"> o </w:t>
            </w:r>
            <w:proofErr w:type="spellStart"/>
            <w:r w:rsidRPr="005867CF">
              <w:rPr>
                <w:sz w:val="24"/>
              </w:rPr>
              <w:t>fudd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wrth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sicrhau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trywydd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clir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gyfer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eich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gwaith</w:t>
            </w:r>
            <w:proofErr w:type="spellEnd"/>
            <w:r w:rsidRPr="005867CF">
              <w:rPr>
                <w:sz w:val="24"/>
              </w:rPr>
              <w:t xml:space="preserve">. Gallant </w:t>
            </w:r>
            <w:proofErr w:type="spellStart"/>
            <w:r w:rsidRPr="005867CF">
              <w:rPr>
                <w:sz w:val="24"/>
              </w:rPr>
              <w:t>hefyd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ennyn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brwdfrydedd</w:t>
            </w:r>
            <w:proofErr w:type="spellEnd"/>
            <w:r w:rsidRPr="005867CF">
              <w:rPr>
                <w:sz w:val="24"/>
              </w:rPr>
              <w:t xml:space="preserve"> am </w:t>
            </w:r>
            <w:proofErr w:type="spellStart"/>
            <w:r w:rsidRPr="005867CF">
              <w:rPr>
                <w:sz w:val="24"/>
              </w:rPr>
              <w:t>eich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maes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astudio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gan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hyrwyddo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cyfleoedd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ddatblygu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broffesiynol</w:t>
            </w:r>
            <w:proofErr w:type="spellEnd"/>
            <w:r w:rsidRPr="005867CF">
              <w:rPr>
                <w:sz w:val="24"/>
              </w:rPr>
              <w:t xml:space="preserve"> neu </w:t>
            </w:r>
            <w:proofErr w:type="spellStart"/>
            <w:r w:rsidRPr="005867CF">
              <w:rPr>
                <w:sz w:val="24"/>
              </w:rPr>
              <w:t>fynd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ymhellach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gydag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ymchwil</w:t>
            </w:r>
            <w:proofErr w:type="spellEnd"/>
            <w:r w:rsidRPr="005867CF">
              <w:rPr>
                <w:sz w:val="24"/>
              </w:rPr>
              <w:t xml:space="preserve">. </w:t>
            </w:r>
          </w:p>
          <w:p w14:paraId="014A1B7B" w14:textId="77777777" w:rsidR="005867CF" w:rsidRDefault="005867CF" w:rsidP="005867CF">
            <w:pPr>
              <w:pStyle w:val="TableParagraph"/>
              <w:ind w:left="132" w:right="98"/>
              <w:jc w:val="both"/>
              <w:rPr>
                <w:sz w:val="24"/>
              </w:rPr>
            </w:pPr>
            <w:r w:rsidRPr="005867CF">
              <w:rPr>
                <w:sz w:val="24"/>
              </w:rPr>
              <w:t xml:space="preserve"> </w:t>
            </w:r>
          </w:p>
          <w:p w14:paraId="4F793609" w14:textId="030210C6" w:rsidR="00F506E3" w:rsidRPr="005867CF" w:rsidRDefault="005867CF" w:rsidP="005867CF">
            <w:pPr>
              <w:pStyle w:val="TableParagraph"/>
              <w:ind w:right="98"/>
              <w:jc w:val="both"/>
              <w:rPr>
                <w:sz w:val="24"/>
              </w:rPr>
            </w:pPr>
            <w:r w:rsidRPr="005867CF">
              <w:rPr>
                <w:b/>
                <w:bCs/>
                <w:sz w:val="24"/>
              </w:rPr>
              <w:t xml:space="preserve">Gall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enwebu</w:t>
            </w:r>
            <w:proofErr w:type="spellEnd"/>
            <w:r w:rsidRPr="005867CF">
              <w:rPr>
                <w:b/>
                <w:bCs/>
                <w:sz w:val="24"/>
              </w:rPr>
              <w:t xml:space="preserve"> staff </w:t>
            </w:r>
            <w:proofErr w:type="spellStart"/>
            <w:r w:rsidRPr="005867CF">
              <w:rPr>
                <w:b/>
                <w:bCs/>
                <w:sz w:val="24"/>
              </w:rPr>
              <w:t>ar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gyfer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wobr</w:t>
            </w:r>
            <w:proofErr w:type="spellEnd"/>
            <w:r w:rsidRPr="005867CF">
              <w:rPr>
                <w:b/>
                <w:bCs/>
                <w:sz w:val="24"/>
              </w:rPr>
              <w:t xml:space="preserve"> hon.</w:t>
            </w:r>
          </w:p>
        </w:tc>
      </w:tr>
      <w:tr w:rsidR="00F506E3" w14:paraId="38DFE1D5" w14:textId="77777777" w:rsidTr="005867CF">
        <w:trPr>
          <w:trHeight w:val="1449"/>
        </w:trPr>
        <w:tc>
          <w:tcPr>
            <w:tcW w:w="2810" w:type="dxa"/>
            <w:tcBorders>
              <w:right w:val="nil"/>
            </w:tcBorders>
            <w:shd w:val="clear" w:color="auto" w:fill="F2F2F2" w:themeFill="background1" w:themeFillShade="F2"/>
          </w:tcPr>
          <w:p w14:paraId="365F41A8" w14:textId="77777777" w:rsidR="00F506E3" w:rsidRDefault="00F506E3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14:paraId="0705672B" w14:textId="755392B7" w:rsidR="005867CF" w:rsidRPr="005867CF" w:rsidRDefault="005867CF" w:rsidP="005867CF">
            <w:pPr>
              <w:pStyle w:val="TableParagraph"/>
              <w:spacing w:line="270" w:lineRule="exact"/>
              <w:ind w:left="132"/>
              <w:jc w:val="center"/>
              <w:rPr>
                <w:b/>
                <w:bCs/>
                <w:sz w:val="24"/>
              </w:rPr>
            </w:pPr>
            <w:r w:rsidRPr="005867CF">
              <w:rPr>
                <w:b/>
                <w:bCs/>
                <w:sz w:val="24"/>
              </w:rPr>
              <w:t xml:space="preserve">Adran y </w:t>
            </w:r>
            <w:proofErr w:type="spellStart"/>
            <w:r w:rsidRPr="005867CF">
              <w:rPr>
                <w:b/>
                <w:bCs/>
                <w:sz w:val="24"/>
              </w:rPr>
              <w:t>Flwyddyn</w:t>
            </w:r>
            <w:proofErr w:type="spellEnd"/>
          </w:p>
          <w:p w14:paraId="7F66A212" w14:textId="4D6A6DDC" w:rsidR="00F506E3" w:rsidRDefault="00F506E3">
            <w:pPr>
              <w:pStyle w:val="TableParagraph"/>
              <w:ind w:left="835" w:right="39" w:hanging="365"/>
              <w:rPr>
                <w:b/>
                <w:sz w:val="24"/>
              </w:rPr>
            </w:pPr>
          </w:p>
        </w:tc>
        <w:tc>
          <w:tcPr>
            <w:tcW w:w="7648" w:type="dxa"/>
            <w:tcBorders>
              <w:left w:val="nil"/>
            </w:tcBorders>
            <w:shd w:val="clear" w:color="auto" w:fill="F2F2F2" w:themeFill="background1" w:themeFillShade="F2"/>
          </w:tcPr>
          <w:p w14:paraId="504FB563" w14:textId="33B74F6F" w:rsidR="005867CF" w:rsidRPr="005867CF" w:rsidRDefault="005867CF" w:rsidP="005867C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proofErr w:type="spellStart"/>
            <w:r w:rsidRPr="005867CF">
              <w:rPr>
                <w:sz w:val="24"/>
              </w:rPr>
              <w:t>Mae'r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categori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hwn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cydnabod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adran</w:t>
            </w:r>
            <w:proofErr w:type="spellEnd"/>
            <w:r w:rsidRPr="005867CF">
              <w:rPr>
                <w:sz w:val="24"/>
              </w:rPr>
              <w:t xml:space="preserve"> (neu </w:t>
            </w:r>
            <w:proofErr w:type="spellStart"/>
            <w:r w:rsidRPr="005867CF">
              <w:rPr>
                <w:sz w:val="24"/>
              </w:rPr>
              <w:t>Sefydliad</w:t>
            </w:r>
            <w:proofErr w:type="spellEnd"/>
            <w:r w:rsidRPr="005867CF">
              <w:rPr>
                <w:sz w:val="24"/>
              </w:rPr>
              <w:t xml:space="preserve">) </w:t>
            </w:r>
            <w:proofErr w:type="spellStart"/>
            <w:r w:rsidRPr="005867CF">
              <w:rPr>
                <w:sz w:val="24"/>
              </w:rPr>
              <w:t>sy'n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gwneud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cyfraniadau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cadarnhaol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eithriadol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brofiad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academaidd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myfyrwyr</w:t>
            </w:r>
            <w:proofErr w:type="spellEnd"/>
            <w:r w:rsidRPr="005867CF">
              <w:rPr>
                <w:sz w:val="24"/>
              </w:rPr>
              <w:t xml:space="preserve">. </w:t>
            </w:r>
            <w:proofErr w:type="spellStart"/>
            <w:r w:rsidRPr="005867CF">
              <w:rPr>
                <w:sz w:val="24"/>
              </w:rPr>
              <w:t>Mae'r</w:t>
            </w:r>
            <w:proofErr w:type="spellEnd"/>
            <w:r w:rsidRPr="005867CF">
              <w:rPr>
                <w:sz w:val="24"/>
              </w:rPr>
              <w:t xml:space="preserve"> staff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gweithio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gyda'i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gilydd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ddarparu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amgylchedd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croesawgar</w:t>
            </w:r>
            <w:proofErr w:type="spellEnd"/>
            <w:r w:rsidRPr="005867CF">
              <w:rPr>
                <w:sz w:val="24"/>
              </w:rPr>
              <w:t xml:space="preserve"> a </w:t>
            </w:r>
            <w:proofErr w:type="spellStart"/>
            <w:r w:rsidRPr="005867CF">
              <w:rPr>
                <w:sz w:val="24"/>
              </w:rPr>
              <w:t>dysgu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addysgu</w:t>
            </w:r>
            <w:proofErr w:type="spellEnd"/>
            <w:r w:rsidRPr="005867CF">
              <w:rPr>
                <w:sz w:val="24"/>
              </w:rPr>
              <w:t xml:space="preserve"> a </w:t>
            </w:r>
            <w:proofErr w:type="spellStart"/>
            <w:r w:rsidRPr="005867CF">
              <w:rPr>
                <w:sz w:val="24"/>
              </w:rPr>
              <w:t>chefnogi</w:t>
            </w:r>
            <w:proofErr w:type="spellEnd"/>
            <w:r w:rsidRPr="005867CF">
              <w:rPr>
                <w:sz w:val="24"/>
              </w:rPr>
              <w:t xml:space="preserve"> o </w:t>
            </w:r>
            <w:proofErr w:type="spellStart"/>
            <w:r w:rsidRPr="005867CF">
              <w:rPr>
                <w:sz w:val="24"/>
              </w:rPr>
              <w:t>safon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uchel</w:t>
            </w:r>
            <w:proofErr w:type="spellEnd"/>
            <w:r w:rsidRPr="005867CF">
              <w:rPr>
                <w:sz w:val="24"/>
              </w:rPr>
              <w:t xml:space="preserve">. </w:t>
            </w:r>
            <w:proofErr w:type="spellStart"/>
            <w:r w:rsidRPr="005867CF">
              <w:rPr>
                <w:sz w:val="24"/>
              </w:rPr>
              <w:t>Mae'n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cydnabod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adran</w:t>
            </w:r>
            <w:proofErr w:type="spellEnd"/>
            <w:r w:rsidRPr="005867CF">
              <w:rPr>
                <w:sz w:val="24"/>
              </w:rPr>
              <w:t xml:space="preserve"> y </w:t>
            </w:r>
            <w:proofErr w:type="spellStart"/>
            <w:r w:rsidRPr="005867CF">
              <w:rPr>
                <w:sz w:val="24"/>
              </w:rPr>
              <w:t>mae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myfyrwyr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falch</w:t>
            </w:r>
            <w:proofErr w:type="spellEnd"/>
            <w:r w:rsidRPr="005867CF">
              <w:rPr>
                <w:sz w:val="24"/>
              </w:rPr>
              <w:t xml:space="preserve"> o </w:t>
            </w:r>
            <w:proofErr w:type="spellStart"/>
            <w:r w:rsidRPr="005867CF">
              <w:rPr>
                <w:sz w:val="24"/>
              </w:rPr>
              <w:t>berthyn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iddi</w:t>
            </w:r>
            <w:proofErr w:type="spellEnd"/>
            <w:r w:rsidRPr="005867CF">
              <w:rPr>
                <w:sz w:val="24"/>
              </w:rPr>
              <w:t xml:space="preserve">. </w:t>
            </w:r>
          </w:p>
          <w:p w14:paraId="2F77C2AA" w14:textId="77777777" w:rsidR="005867CF" w:rsidRDefault="005867CF" w:rsidP="005867CF">
            <w:pPr>
              <w:pStyle w:val="TableParagraph"/>
              <w:spacing w:line="270" w:lineRule="exact"/>
              <w:jc w:val="both"/>
              <w:rPr>
                <w:sz w:val="24"/>
              </w:rPr>
            </w:pPr>
          </w:p>
          <w:p w14:paraId="6C2DECBC" w14:textId="38585313" w:rsidR="00F506E3" w:rsidRPr="005867CF" w:rsidRDefault="005867CF" w:rsidP="005867CF">
            <w:pPr>
              <w:pStyle w:val="TableParagraph"/>
              <w:spacing w:line="270" w:lineRule="exact"/>
              <w:jc w:val="both"/>
              <w:rPr>
                <w:b/>
                <w:bCs/>
                <w:sz w:val="24"/>
              </w:rPr>
            </w:pPr>
            <w:r w:rsidRPr="005867CF">
              <w:rPr>
                <w:b/>
                <w:bCs/>
                <w:sz w:val="24"/>
              </w:rPr>
              <w:t xml:space="preserve">Gall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enwebu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adrannau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ar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gyfer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wobr</w:t>
            </w:r>
            <w:proofErr w:type="spellEnd"/>
            <w:r w:rsidRPr="005867CF">
              <w:rPr>
                <w:b/>
                <w:bCs/>
                <w:sz w:val="24"/>
              </w:rPr>
              <w:t xml:space="preserve"> hon.</w:t>
            </w:r>
          </w:p>
        </w:tc>
      </w:tr>
    </w:tbl>
    <w:p w14:paraId="7FE773D4" w14:textId="77777777" w:rsidR="00F506E3" w:rsidRDefault="00F506E3">
      <w:pPr>
        <w:pStyle w:val="TableParagraph"/>
        <w:spacing w:line="270" w:lineRule="exact"/>
        <w:jc w:val="both"/>
        <w:rPr>
          <w:sz w:val="24"/>
        </w:rPr>
        <w:sectPr w:rsidR="00F506E3">
          <w:type w:val="continuous"/>
          <w:pgSz w:w="11910" w:h="16840"/>
          <w:pgMar w:top="0" w:right="708" w:bottom="935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8"/>
        <w:gridCol w:w="7672"/>
      </w:tblGrid>
      <w:tr w:rsidR="00F506E3" w14:paraId="3ADE53AD" w14:textId="77777777">
        <w:trPr>
          <w:trHeight w:val="1564"/>
        </w:trPr>
        <w:tc>
          <w:tcPr>
            <w:tcW w:w="2788" w:type="dxa"/>
            <w:tcBorders>
              <w:right w:val="nil"/>
            </w:tcBorders>
            <w:shd w:val="clear" w:color="auto" w:fill="BEBEBE"/>
          </w:tcPr>
          <w:p w14:paraId="2E601F95" w14:textId="77777777" w:rsidR="00F506E3" w:rsidRDefault="00F506E3">
            <w:pPr>
              <w:pStyle w:val="TableParagraph"/>
              <w:rPr>
                <w:rFonts w:ascii="Times New Roman"/>
                <w:sz w:val="24"/>
              </w:rPr>
            </w:pPr>
          </w:p>
          <w:p w14:paraId="38A85339" w14:textId="77777777" w:rsidR="00F506E3" w:rsidRDefault="00F506E3">
            <w:pPr>
              <w:pStyle w:val="TableParagraph"/>
              <w:spacing w:before="74"/>
              <w:rPr>
                <w:rFonts w:ascii="Times New Roman"/>
                <w:sz w:val="24"/>
              </w:rPr>
            </w:pPr>
          </w:p>
          <w:p w14:paraId="28002D89" w14:textId="29DFAF5F" w:rsidR="005867CF" w:rsidRPr="005867CF" w:rsidRDefault="005867CF" w:rsidP="005867CF">
            <w:pPr>
              <w:pStyle w:val="TableParagraph"/>
              <w:spacing w:line="259" w:lineRule="auto"/>
              <w:ind w:left="154" w:right="99"/>
              <w:jc w:val="center"/>
              <w:rPr>
                <w:b/>
                <w:bCs/>
                <w:sz w:val="24"/>
              </w:rPr>
            </w:pPr>
            <w:proofErr w:type="spellStart"/>
            <w:r w:rsidRPr="005867CF">
              <w:rPr>
                <w:b/>
                <w:bCs/>
                <w:sz w:val="24"/>
              </w:rPr>
              <w:t>Pencampwr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Diwylliant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Cymreig</w:t>
            </w:r>
            <w:proofErr w:type="spellEnd"/>
          </w:p>
          <w:p w14:paraId="2C8D7F1C" w14:textId="17DA2D15" w:rsidR="00F506E3" w:rsidRDefault="00F506E3">
            <w:pPr>
              <w:pStyle w:val="TableParagraph"/>
              <w:ind w:left="338"/>
              <w:rPr>
                <w:b/>
                <w:sz w:val="24"/>
              </w:rPr>
            </w:pPr>
          </w:p>
        </w:tc>
        <w:tc>
          <w:tcPr>
            <w:tcW w:w="7672" w:type="dxa"/>
            <w:tcBorders>
              <w:left w:val="nil"/>
            </w:tcBorders>
            <w:shd w:val="clear" w:color="auto" w:fill="BEBEBE"/>
          </w:tcPr>
          <w:p w14:paraId="3389DCE6" w14:textId="741C209D" w:rsidR="005867CF" w:rsidRPr="005867CF" w:rsidRDefault="005867CF" w:rsidP="005867CF">
            <w:pPr>
              <w:pStyle w:val="TableParagraph"/>
              <w:spacing w:line="259" w:lineRule="auto"/>
              <w:ind w:right="99"/>
              <w:jc w:val="both"/>
              <w:rPr>
                <w:sz w:val="24"/>
              </w:rPr>
            </w:pPr>
            <w:proofErr w:type="spellStart"/>
            <w:r w:rsidRPr="005867CF">
              <w:rPr>
                <w:sz w:val="24"/>
              </w:rPr>
              <w:t>Mae’r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wobr</w:t>
            </w:r>
            <w:proofErr w:type="spellEnd"/>
            <w:r w:rsidRPr="005867CF">
              <w:rPr>
                <w:sz w:val="24"/>
              </w:rPr>
              <w:t xml:space="preserve"> hon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cydnabod</w:t>
            </w:r>
            <w:proofErr w:type="spellEnd"/>
            <w:r w:rsidRPr="005867CF">
              <w:rPr>
                <w:sz w:val="24"/>
              </w:rPr>
              <w:t xml:space="preserve"> yr </w:t>
            </w:r>
            <w:proofErr w:type="spellStart"/>
            <w:r w:rsidRPr="005867CF">
              <w:rPr>
                <w:sz w:val="24"/>
              </w:rPr>
              <w:t>aelodau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saff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hynny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ar</w:t>
            </w:r>
            <w:proofErr w:type="spellEnd"/>
            <w:r w:rsidRPr="005867CF">
              <w:rPr>
                <w:sz w:val="24"/>
              </w:rPr>
              <w:t xml:space="preserve"> draws </w:t>
            </w:r>
            <w:proofErr w:type="spellStart"/>
            <w:r w:rsidRPr="005867CF">
              <w:rPr>
                <w:sz w:val="24"/>
              </w:rPr>
              <w:t>pob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adran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swydd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sy’n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gwneud</w:t>
            </w:r>
            <w:proofErr w:type="spellEnd"/>
            <w:r w:rsidRPr="005867CF">
              <w:rPr>
                <w:sz w:val="24"/>
              </w:rPr>
              <w:t xml:space="preserve"> y </w:t>
            </w:r>
            <w:proofErr w:type="spellStart"/>
            <w:r w:rsidRPr="005867CF">
              <w:rPr>
                <w:sz w:val="24"/>
              </w:rPr>
              <w:t>profiad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Cymraeg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iaith</w:t>
            </w:r>
            <w:proofErr w:type="spellEnd"/>
            <w:r w:rsidRPr="005867CF">
              <w:rPr>
                <w:sz w:val="24"/>
              </w:rPr>
              <w:t xml:space="preserve"> a </w:t>
            </w:r>
            <w:proofErr w:type="spellStart"/>
            <w:r w:rsidRPr="005867CF">
              <w:rPr>
                <w:sz w:val="24"/>
              </w:rPr>
              <w:t>diwylliannol</w:t>
            </w:r>
            <w:proofErr w:type="spellEnd"/>
            <w:r w:rsidRPr="005867CF">
              <w:rPr>
                <w:sz w:val="24"/>
              </w:rPr>
              <w:t xml:space="preserve"> o </w:t>
            </w:r>
            <w:proofErr w:type="spellStart"/>
            <w:r w:rsidRPr="005867CF">
              <w:rPr>
                <w:sz w:val="24"/>
              </w:rPr>
              <w:t>Brifysgol</w:t>
            </w:r>
            <w:proofErr w:type="spellEnd"/>
            <w:r w:rsidRPr="005867CF">
              <w:rPr>
                <w:sz w:val="24"/>
              </w:rPr>
              <w:t xml:space="preserve"> Aberystwyth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dda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iawn</w:t>
            </w:r>
            <w:proofErr w:type="spellEnd"/>
            <w:r w:rsidRPr="005867CF">
              <w:rPr>
                <w:sz w:val="24"/>
              </w:rPr>
              <w:t xml:space="preserve">. </w:t>
            </w:r>
            <w:proofErr w:type="spellStart"/>
            <w:r w:rsidRPr="005867CF">
              <w:rPr>
                <w:sz w:val="24"/>
              </w:rPr>
              <w:t>Maent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cefnogi’r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Gymraeg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ymhopeth</w:t>
            </w:r>
            <w:proofErr w:type="spellEnd"/>
            <w:r w:rsidRPr="005867CF">
              <w:rPr>
                <w:sz w:val="24"/>
              </w:rPr>
              <w:t xml:space="preserve"> a </w:t>
            </w:r>
            <w:proofErr w:type="spellStart"/>
            <w:r w:rsidRPr="005867CF">
              <w:rPr>
                <w:sz w:val="24"/>
              </w:rPr>
              <w:t>wnânt</w:t>
            </w:r>
            <w:proofErr w:type="spellEnd"/>
            <w:r w:rsidRPr="005867CF">
              <w:rPr>
                <w:sz w:val="24"/>
              </w:rPr>
              <w:t xml:space="preserve"> ac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ysbrydoli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myfyrwyr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hybu’r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Gymraeg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ymhellach</w:t>
            </w:r>
            <w:proofErr w:type="spellEnd"/>
            <w:r w:rsidRPr="005867CF">
              <w:rPr>
                <w:sz w:val="24"/>
              </w:rPr>
              <w:t xml:space="preserve">. </w:t>
            </w:r>
          </w:p>
          <w:p w14:paraId="217B1703" w14:textId="77777777" w:rsidR="005867CF" w:rsidRDefault="005867CF" w:rsidP="005867CF">
            <w:pPr>
              <w:pStyle w:val="TableParagraph"/>
              <w:spacing w:line="259" w:lineRule="auto"/>
              <w:ind w:left="154" w:right="99"/>
              <w:jc w:val="both"/>
              <w:rPr>
                <w:sz w:val="24"/>
              </w:rPr>
            </w:pPr>
            <w:r w:rsidRPr="005867CF">
              <w:rPr>
                <w:sz w:val="24"/>
              </w:rPr>
              <w:t xml:space="preserve"> </w:t>
            </w:r>
          </w:p>
          <w:p w14:paraId="28C8CFF3" w14:textId="465E0F3B" w:rsidR="00F506E3" w:rsidRPr="005867CF" w:rsidRDefault="005867CF" w:rsidP="005867CF">
            <w:pPr>
              <w:pStyle w:val="TableParagraph"/>
              <w:spacing w:line="259" w:lineRule="auto"/>
              <w:ind w:right="99"/>
              <w:jc w:val="both"/>
              <w:rPr>
                <w:b/>
                <w:bCs/>
                <w:sz w:val="24"/>
              </w:rPr>
            </w:pPr>
            <w:r w:rsidRPr="005867CF">
              <w:rPr>
                <w:b/>
                <w:bCs/>
                <w:sz w:val="24"/>
              </w:rPr>
              <w:t xml:space="preserve">Gall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enwebu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a staff </w:t>
            </w:r>
            <w:proofErr w:type="spellStart"/>
            <w:r w:rsidRPr="005867CF">
              <w:rPr>
                <w:b/>
                <w:bCs/>
                <w:sz w:val="24"/>
              </w:rPr>
              <w:t>ar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gyfer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wobr</w:t>
            </w:r>
            <w:proofErr w:type="spellEnd"/>
            <w:r w:rsidRPr="005867CF">
              <w:rPr>
                <w:b/>
                <w:bCs/>
                <w:sz w:val="24"/>
              </w:rPr>
              <w:t xml:space="preserve"> hon.</w:t>
            </w:r>
          </w:p>
        </w:tc>
      </w:tr>
      <w:tr w:rsidR="00F506E3" w14:paraId="0C3CBC0A" w14:textId="77777777" w:rsidTr="005867CF">
        <w:trPr>
          <w:trHeight w:val="1562"/>
        </w:trPr>
        <w:tc>
          <w:tcPr>
            <w:tcW w:w="2788" w:type="dxa"/>
            <w:tcBorders>
              <w:right w:val="nil"/>
            </w:tcBorders>
            <w:shd w:val="clear" w:color="auto" w:fill="F2F2F2" w:themeFill="background1" w:themeFillShade="F2"/>
          </w:tcPr>
          <w:p w14:paraId="7E3CE8BD" w14:textId="77777777" w:rsidR="00F506E3" w:rsidRDefault="00F506E3">
            <w:pPr>
              <w:pStyle w:val="TableParagraph"/>
              <w:spacing w:before="191"/>
              <w:rPr>
                <w:rFonts w:ascii="Times New Roman"/>
                <w:sz w:val="24"/>
              </w:rPr>
            </w:pPr>
          </w:p>
          <w:p w14:paraId="3288E1E1" w14:textId="484E3627" w:rsidR="005867CF" w:rsidRPr="005867CF" w:rsidRDefault="005867CF" w:rsidP="005867CF">
            <w:pPr>
              <w:pStyle w:val="TableParagraph"/>
              <w:spacing w:line="259" w:lineRule="auto"/>
              <w:ind w:left="154" w:right="99"/>
              <w:jc w:val="center"/>
              <w:rPr>
                <w:b/>
                <w:bCs/>
                <w:sz w:val="24"/>
              </w:rPr>
            </w:pPr>
            <w:proofErr w:type="spellStart"/>
            <w:r w:rsidRPr="005867CF">
              <w:rPr>
                <w:b/>
                <w:bCs/>
                <w:sz w:val="24"/>
              </w:rPr>
              <w:t>Tiwtor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Personol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Flwyddyn</w:t>
            </w:r>
            <w:proofErr w:type="spellEnd"/>
          </w:p>
          <w:p w14:paraId="01B99326" w14:textId="0CE11901" w:rsidR="00F506E3" w:rsidRDefault="00F506E3">
            <w:pPr>
              <w:pStyle w:val="TableParagraph"/>
              <w:spacing w:line="261" w:lineRule="auto"/>
              <w:ind w:left="270" w:firstLine="432"/>
              <w:rPr>
                <w:b/>
                <w:sz w:val="24"/>
              </w:rPr>
            </w:pPr>
          </w:p>
        </w:tc>
        <w:tc>
          <w:tcPr>
            <w:tcW w:w="7672" w:type="dxa"/>
            <w:tcBorders>
              <w:left w:val="nil"/>
            </w:tcBorders>
            <w:shd w:val="clear" w:color="auto" w:fill="F2F2F2" w:themeFill="background1" w:themeFillShade="F2"/>
          </w:tcPr>
          <w:p w14:paraId="1859AD6E" w14:textId="7B803F98" w:rsidR="005867CF" w:rsidRPr="005867CF" w:rsidRDefault="005867CF" w:rsidP="005867CF">
            <w:pPr>
              <w:pStyle w:val="TableParagraph"/>
              <w:spacing w:line="259" w:lineRule="auto"/>
              <w:ind w:right="99"/>
              <w:jc w:val="both"/>
              <w:rPr>
                <w:sz w:val="24"/>
              </w:rPr>
            </w:pPr>
            <w:proofErr w:type="spellStart"/>
            <w:r w:rsidRPr="005867CF">
              <w:rPr>
                <w:sz w:val="24"/>
              </w:rPr>
              <w:t>Mae’r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gwobr</w:t>
            </w:r>
            <w:proofErr w:type="spellEnd"/>
            <w:r w:rsidRPr="005867CF">
              <w:rPr>
                <w:sz w:val="24"/>
              </w:rPr>
              <w:t xml:space="preserve"> hon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cydnabod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tiwtor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personol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sy’n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frwdfrydig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dros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helpu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myfyrwyr</w:t>
            </w:r>
            <w:proofErr w:type="spellEnd"/>
            <w:r w:rsidRPr="005867CF">
              <w:rPr>
                <w:sz w:val="24"/>
              </w:rPr>
              <w:t xml:space="preserve"> a </w:t>
            </w:r>
            <w:proofErr w:type="spellStart"/>
            <w:r w:rsidRPr="005867CF">
              <w:rPr>
                <w:sz w:val="24"/>
              </w:rPr>
              <w:t>sicrhau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fod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hamser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y </w:t>
            </w:r>
            <w:proofErr w:type="spellStart"/>
            <w:r w:rsidRPr="005867CF">
              <w:rPr>
                <w:sz w:val="24"/>
              </w:rPr>
              <w:t>Brifysgol</w:t>
            </w:r>
            <w:proofErr w:type="spellEnd"/>
            <w:r w:rsidRPr="005867CF">
              <w:rPr>
                <w:sz w:val="24"/>
              </w:rPr>
              <w:t xml:space="preserve"> y </w:t>
            </w:r>
            <w:proofErr w:type="spellStart"/>
            <w:r w:rsidRPr="005867CF">
              <w:rPr>
                <w:sz w:val="24"/>
              </w:rPr>
              <w:t>gorau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posibl</w:t>
            </w:r>
            <w:proofErr w:type="spellEnd"/>
            <w:r w:rsidRPr="005867CF">
              <w:rPr>
                <w:sz w:val="24"/>
              </w:rPr>
              <w:t xml:space="preserve">. </w:t>
            </w:r>
            <w:proofErr w:type="spellStart"/>
            <w:r w:rsidRPr="005867CF">
              <w:rPr>
                <w:sz w:val="24"/>
              </w:rPr>
              <w:t>Mae'r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aelod</w:t>
            </w:r>
            <w:proofErr w:type="spellEnd"/>
            <w:r w:rsidRPr="005867CF">
              <w:rPr>
                <w:sz w:val="24"/>
              </w:rPr>
              <w:t xml:space="preserve"> staff </w:t>
            </w:r>
            <w:proofErr w:type="spellStart"/>
            <w:r w:rsidRPr="005867CF">
              <w:rPr>
                <w:sz w:val="24"/>
              </w:rPr>
              <w:t>hwn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darparu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gofal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bugeiliol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cymorth</w:t>
            </w:r>
            <w:proofErr w:type="spellEnd"/>
            <w:r w:rsidRPr="005867CF">
              <w:rPr>
                <w:sz w:val="24"/>
              </w:rPr>
              <w:t xml:space="preserve"> a </w:t>
            </w:r>
            <w:proofErr w:type="spellStart"/>
            <w:r w:rsidRPr="005867CF">
              <w:rPr>
                <w:sz w:val="24"/>
              </w:rPr>
              <w:t>chanllawiau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rhagorol</w:t>
            </w:r>
            <w:proofErr w:type="spellEnd"/>
            <w:r w:rsidRPr="005867CF">
              <w:rPr>
                <w:sz w:val="24"/>
              </w:rPr>
              <w:t xml:space="preserve">. </w:t>
            </w:r>
          </w:p>
          <w:p w14:paraId="09100DC4" w14:textId="77777777" w:rsidR="005867CF" w:rsidRDefault="005867CF" w:rsidP="005867CF">
            <w:pPr>
              <w:pStyle w:val="TableParagraph"/>
              <w:spacing w:line="259" w:lineRule="auto"/>
              <w:ind w:left="154" w:right="99"/>
              <w:jc w:val="both"/>
              <w:rPr>
                <w:sz w:val="24"/>
              </w:rPr>
            </w:pPr>
            <w:r w:rsidRPr="005867CF">
              <w:rPr>
                <w:sz w:val="24"/>
              </w:rPr>
              <w:t xml:space="preserve"> </w:t>
            </w:r>
          </w:p>
          <w:p w14:paraId="3572B2A9" w14:textId="70F52EC4" w:rsidR="00F506E3" w:rsidRPr="005867CF" w:rsidRDefault="005867CF" w:rsidP="005867CF">
            <w:pPr>
              <w:pStyle w:val="TableParagraph"/>
              <w:spacing w:line="259" w:lineRule="auto"/>
              <w:ind w:right="99"/>
              <w:jc w:val="both"/>
              <w:rPr>
                <w:b/>
                <w:bCs/>
                <w:sz w:val="24"/>
              </w:rPr>
            </w:pPr>
            <w:r w:rsidRPr="005867CF">
              <w:rPr>
                <w:b/>
                <w:bCs/>
                <w:sz w:val="24"/>
              </w:rPr>
              <w:t xml:space="preserve">Gall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enwebu</w:t>
            </w:r>
            <w:proofErr w:type="spellEnd"/>
            <w:r w:rsidRPr="005867CF">
              <w:rPr>
                <w:b/>
                <w:bCs/>
                <w:sz w:val="24"/>
              </w:rPr>
              <w:t xml:space="preserve"> staff </w:t>
            </w:r>
            <w:proofErr w:type="spellStart"/>
            <w:r w:rsidRPr="005867CF">
              <w:rPr>
                <w:b/>
                <w:bCs/>
                <w:sz w:val="24"/>
              </w:rPr>
              <w:t>ar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gyfer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wobr</w:t>
            </w:r>
            <w:proofErr w:type="spellEnd"/>
            <w:r w:rsidRPr="005867CF">
              <w:rPr>
                <w:b/>
                <w:bCs/>
                <w:sz w:val="24"/>
              </w:rPr>
              <w:t xml:space="preserve"> hon.</w:t>
            </w:r>
          </w:p>
        </w:tc>
      </w:tr>
      <w:tr w:rsidR="00F506E3" w14:paraId="68645509" w14:textId="77777777">
        <w:trPr>
          <w:trHeight w:val="1876"/>
        </w:trPr>
        <w:tc>
          <w:tcPr>
            <w:tcW w:w="2788" w:type="dxa"/>
            <w:tcBorders>
              <w:right w:val="nil"/>
            </w:tcBorders>
            <w:shd w:val="clear" w:color="auto" w:fill="BEBEBE"/>
          </w:tcPr>
          <w:p w14:paraId="1106796B" w14:textId="77777777" w:rsidR="00F506E3" w:rsidRDefault="00F506E3">
            <w:pPr>
              <w:pStyle w:val="TableParagraph"/>
              <w:rPr>
                <w:rFonts w:ascii="Times New Roman"/>
                <w:sz w:val="24"/>
              </w:rPr>
            </w:pPr>
          </w:p>
          <w:p w14:paraId="406CB0AC" w14:textId="77777777" w:rsidR="00F506E3" w:rsidRDefault="00F506E3">
            <w:pPr>
              <w:pStyle w:val="TableParagraph"/>
              <w:spacing w:before="74"/>
              <w:rPr>
                <w:rFonts w:ascii="Times New Roman"/>
                <w:sz w:val="24"/>
              </w:rPr>
            </w:pPr>
          </w:p>
          <w:p w14:paraId="5C045E69" w14:textId="2EA6D144" w:rsidR="005867CF" w:rsidRPr="005867CF" w:rsidRDefault="005867CF" w:rsidP="005867CF">
            <w:pPr>
              <w:pStyle w:val="TableParagraph"/>
              <w:spacing w:line="259" w:lineRule="auto"/>
              <w:ind w:left="154" w:right="97"/>
              <w:jc w:val="center"/>
              <w:rPr>
                <w:b/>
                <w:bCs/>
                <w:sz w:val="24"/>
              </w:rPr>
            </w:pPr>
            <w:proofErr w:type="spellStart"/>
            <w:r w:rsidRPr="005867CF">
              <w:rPr>
                <w:b/>
                <w:bCs/>
                <w:sz w:val="24"/>
              </w:rPr>
              <w:t>Gwobr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Ymroddiad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i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Gyflogadwyedd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</w:p>
          <w:p w14:paraId="24C2962B" w14:textId="3008C899" w:rsidR="00F506E3" w:rsidRDefault="00F506E3">
            <w:pPr>
              <w:pStyle w:val="TableParagraph"/>
              <w:spacing w:line="259" w:lineRule="auto"/>
              <w:ind w:left="835" w:right="181" w:hanging="611"/>
              <w:rPr>
                <w:b/>
                <w:sz w:val="24"/>
              </w:rPr>
            </w:pPr>
          </w:p>
        </w:tc>
        <w:tc>
          <w:tcPr>
            <w:tcW w:w="7672" w:type="dxa"/>
            <w:tcBorders>
              <w:left w:val="nil"/>
            </w:tcBorders>
            <w:shd w:val="clear" w:color="auto" w:fill="BEBEBE"/>
          </w:tcPr>
          <w:p w14:paraId="7257D794" w14:textId="70716D1B" w:rsidR="005867CF" w:rsidRPr="005867CF" w:rsidRDefault="005867CF" w:rsidP="005867CF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proofErr w:type="spellStart"/>
            <w:r w:rsidRPr="005867CF">
              <w:rPr>
                <w:sz w:val="24"/>
              </w:rPr>
              <w:t>Mae'r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wobr</w:t>
            </w:r>
            <w:proofErr w:type="spellEnd"/>
            <w:r w:rsidRPr="005867CF">
              <w:rPr>
                <w:sz w:val="24"/>
              </w:rPr>
              <w:t xml:space="preserve"> hon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cydnabod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ymdrechion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aelod</w:t>
            </w:r>
            <w:proofErr w:type="spellEnd"/>
            <w:r w:rsidRPr="005867CF">
              <w:rPr>
                <w:sz w:val="24"/>
              </w:rPr>
              <w:t xml:space="preserve"> staff </w:t>
            </w:r>
            <w:proofErr w:type="spellStart"/>
            <w:r w:rsidRPr="005867CF">
              <w:rPr>
                <w:sz w:val="24"/>
              </w:rPr>
              <w:t>sydd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wedi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dangos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ymroddiad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eithriadol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wella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cyflogadwyedd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myfyrwyr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trwy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feithrin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twf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personol</w:t>
            </w:r>
            <w:proofErr w:type="spellEnd"/>
            <w:r w:rsidRPr="005867CF">
              <w:rPr>
                <w:sz w:val="24"/>
              </w:rPr>
              <w:t xml:space="preserve"> a </w:t>
            </w:r>
            <w:proofErr w:type="spellStart"/>
            <w:r w:rsidRPr="005867CF">
              <w:rPr>
                <w:sz w:val="24"/>
              </w:rPr>
              <w:t>phroffesiynol</w:t>
            </w:r>
            <w:proofErr w:type="spellEnd"/>
            <w:r w:rsidRPr="005867CF">
              <w:rPr>
                <w:sz w:val="24"/>
              </w:rPr>
              <w:t xml:space="preserve">. Gallai </w:t>
            </w:r>
            <w:proofErr w:type="spellStart"/>
            <w:r w:rsidRPr="005867CF">
              <w:rPr>
                <w:sz w:val="24"/>
              </w:rPr>
              <w:t>hyn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gynnwys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cymryd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rhan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mewn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trafodaethau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ynghylch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gyrfaoedd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hyrwyddo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cyfleoedd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amrywiol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fel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gwirfoddoli</w:t>
            </w:r>
            <w:proofErr w:type="spellEnd"/>
            <w:r w:rsidRPr="005867CF">
              <w:rPr>
                <w:sz w:val="24"/>
              </w:rPr>
              <w:t xml:space="preserve"> neu </w:t>
            </w:r>
            <w:proofErr w:type="spellStart"/>
            <w:r w:rsidRPr="005867CF">
              <w:rPr>
                <w:sz w:val="24"/>
              </w:rPr>
              <w:t>waith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rhan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amser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helpu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gyda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cheisiadau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swyddi</w:t>
            </w:r>
            <w:proofErr w:type="spellEnd"/>
            <w:r w:rsidRPr="005867CF">
              <w:rPr>
                <w:sz w:val="24"/>
              </w:rPr>
              <w:t xml:space="preserve">, neu </w:t>
            </w:r>
            <w:proofErr w:type="spellStart"/>
            <w:r w:rsidRPr="005867CF">
              <w:rPr>
                <w:sz w:val="24"/>
              </w:rPr>
              <w:t>eich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helpu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ddeall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eich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sgiliau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a’ch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cryfderau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a’u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rhoi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waith</w:t>
            </w:r>
            <w:proofErr w:type="spellEnd"/>
            <w:r w:rsidRPr="005867CF">
              <w:rPr>
                <w:sz w:val="24"/>
              </w:rPr>
              <w:t xml:space="preserve">. </w:t>
            </w:r>
          </w:p>
          <w:p w14:paraId="5C7ADCB2" w14:textId="77777777" w:rsidR="005867CF" w:rsidRDefault="005867CF" w:rsidP="005867CF">
            <w:pPr>
              <w:pStyle w:val="TableParagraph"/>
              <w:spacing w:line="259" w:lineRule="auto"/>
              <w:ind w:left="154" w:right="97"/>
              <w:jc w:val="both"/>
              <w:rPr>
                <w:sz w:val="24"/>
              </w:rPr>
            </w:pPr>
            <w:r w:rsidRPr="005867CF">
              <w:rPr>
                <w:sz w:val="24"/>
              </w:rPr>
              <w:t xml:space="preserve"> </w:t>
            </w:r>
          </w:p>
          <w:p w14:paraId="3D866884" w14:textId="2F4A9D22" w:rsidR="00F506E3" w:rsidRPr="005867CF" w:rsidRDefault="005867CF" w:rsidP="005867CF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 w:rsidRPr="005867CF">
              <w:rPr>
                <w:b/>
                <w:bCs/>
                <w:sz w:val="24"/>
              </w:rPr>
              <w:t xml:space="preserve">Gall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enwebu</w:t>
            </w:r>
            <w:proofErr w:type="spellEnd"/>
            <w:r w:rsidRPr="005867CF">
              <w:rPr>
                <w:b/>
                <w:bCs/>
                <w:sz w:val="24"/>
              </w:rPr>
              <w:t xml:space="preserve"> staff </w:t>
            </w:r>
            <w:proofErr w:type="spellStart"/>
            <w:r w:rsidRPr="005867CF">
              <w:rPr>
                <w:b/>
                <w:bCs/>
                <w:sz w:val="24"/>
              </w:rPr>
              <w:t>ar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gyfer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wobr</w:t>
            </w:r>
            <w:proofErr w:type="spellEnd"/>
            <w:r w:rsidRPr="005867CF">
              <w:rPr>
                <w:b/>
                <w:bCs/>
                <w:sz w:val="24"/>
              </w:rPr>
              <w:t xml:space="preserve"> hon.</w:t>
            </w:r>
          </w:p>
        </w:tc>
      </w:tr>
      <w:tr w:rsidR="00F506E3" w14:paraId="5C56ABEE" w14:textId="77777777">
        <w:trPr>
          <w:trHeight w:val="1250"/>
        </w:trPr>
        <w:tc>
          <w:tcPr>
            <w:tcW w:w="2788" w:type="dxa"/>
            <w:tcBorders>
              <w:right w:val="nil"/>
            </w:tcBorders>
          </w:tcPr>
          <w:p w14:paraId="6C1F263D" w14:textId="77777777" w:rsidR="00F506E3" w:rsidRDefault="00F506E3">
            <w:pPr>
              <w:pStyle w:val="TableParagraph"/>
              <w:spacing w:before="35"/>
              <w:rPr>
                <w:rFonts w:ascii="Times New Roman"/>
                <w:sz w:val="24"/>
              </w:rPr>
            </w:pPr>
          </w:p>
          <w:p w14:paraId="6264CDDD" w14:textId="503A8966" w:rsidR="005867CF" w:rsidRPr="005867CF" w:rsidRDefault="005867CF" w:rsidP="005867CF">
            <w:pPr>
              <w:pStyle w:val="TableParagraph"/>
              <w:spacing w:line="259" w:lineRule="auto"/>
              <w:ind w:left="154" w:right="103"/>
              <w:jc w:val="center"/>
              <w:rPr>
                <w:b/>
                <w:bCs/>
                <w:sz w:val="24"/>
              </w:rPr>
            </w:pPr>
            <w:proofErr w:type="spellStart"/>
            <w:r w:rsidRPr="005867CF">
              <w:rPr>
                <w:b/>
                <w:bCs/>
                <w:sz w:val="24"/>
              </w:rPr>
              <w:t>Pencampwr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Hygyrchedd</w:t>
            </w:r>
            <w:proofErr w:type="spellEnd"/>
            <w:r w:rsidRPr="005867CF">
              <w:rPr>
                <w:b/>
                <w:bCs/>
                <w:sz w:val="24"/>
              </w:rPr>
              <w:t xml:space="preserve"> a </w:t>
            </w:r>
            <w:proofErr w:type="spellStart"/>
            <w:r w:rsidRPr="005867CF">
              <w:rPr>
                <w:b/>
                <w:bCs/>
                <w:sz w:val="24"/>
              </w:rPr>
              <w:t>Chynhwysiant</w:t>
            </w:r>
            <w:proofErr w:type="spellEnd"/>
          </w:p>
          <w:p w14:paraId="020AE88D" w14:textId="76E24B04" w:rsidR="00F506E3" w:rsidRDefault="00F506E3">
            <w:pPr>
              <w:pStyle w:val="TableParagraph"/>
              <w:spacing w:line="261" w:lineRule="auto"/>
              <w:ind w:left="835" w:hanging="479"/>
              <w:rPr>
                <w:b/>
                <w:sz w:val="24"/>
              </w:rPr>
            </w:pPr>
          </w:p>
        </w:tc>
        <w:tc>
          <w:tcPr>
            <w:tcW w:w="7672" w:type="dxa"/>
            <w:tcBorders>
              <w:left w:val="nil"/>
            </w:tcBorders>
          </w:tcPr>
          <w:p w14:paraId="50495D91" w14:textId="77777777" w:rsidR="005867CF" w:rsidRDefault="005867CF" w:rsidP="005867CF">
            <w:pPr>
              <w:pStyle w:val="TableParagraph"/>
              <w:spacing w:line="259" w:lineRule="auto"/>
              <w:ind w:right="103"/>
              <w:jc w:val="both"/>
              <w:rPr>
                <w:sz w:val="24"/>
              </w:rPr>
            </w:pPr>
            <w:proofErr w:type="spellStart"/>
            <w:r w:rsidRPr="005867CF">
              <w:rPr>
                <w:sz w:val="24"/>
              </w:rPr>
              <w:t>Mae'r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wobr</w:t>
            </w:r>
            <w:proofErr w:type="spellEnd"/>
            <w:r w:rsidRPr="005867CF">
              <w:rPr>
                <w:sz w:val="24"/>
              </w:rPr>
              <w:t xml:space="preserve"> hon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dathlu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myfyriwr</w:t>
            </w:r>
            <w:proofErr w:type="spellEnd"/>
            <w:r w:rsidRPr="005867CF">
              <w:rPr>
                <w:sz w:val="24"/>
              </w:rPr>
              <w:t xml:space="preserve"> neu </w:t>
            </w:r>
            <w:proofErr w:type="spellStart"/>
            <w:r w:rsidRPr="005867CF">
              <w:rPr>
                <w:sz w:val="24"/>
              </w:rPr>
              <w:t>aelod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o'r</w:t>
            </w:r>
            <w:proofErr w:type="spellEnd"/>
            <w:r w:rsidRPr="005867CF">
              <w:rPr>
                <w:sz w:val="24"/>
              </w:rPr>
              <w:t xml:space="preserve"> staff </w:t>
            </w:r>
            <w:proofErr w:type="spellStart"/>
            <w:r w:rsidRPr="005867CF">
              <w:rPr>
                <w:sz w:val="24"/>
              </w:rPr>
              <w:t>sy'n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hyrwyddo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hygyrchedd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cynhwysiant</w:t>
            </w:r>
            <w:proofErr w:type="spellEnd"/>
            <w:r w:rsidRPr="005867CF">
              <w:rPr>
                <w:sz w:val="24"/>
              </w:rPr>
              <w:t xml:space="preserve">, a </w:t>
            </w:r>
            <w:proofErr w:type="spellStart"/>
            <w:r w:rsidRPr="005867CF">
              <w:rPr>
                <w:sz w:val="24"/>
              </w:rPr>
              <w:t>chyfartaledd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ar</w:t>
            </w:r>
            <w:proofErr w:type="spellEnd"/>
            <w:r w:rsidRPr="005867CF">
              <w:rPr>
                <w:sz w:val="24"/>
              </w:rPr>
              <w:t xml:space="preserve"> draws y </w:t>
            </w:r>
            <w:proofErr w:type="spellStart"/>
            <w:r w:rsidRPr="005867CF">
              <w:rPr>
                <w:sz w:val="24"/>
              </w:rPr>
              <w:t>Brifysgol</w:t>
            </w:r>
            <w:proofErr w:type="spellEnd"/>
            <w:r w:rsidRPr="005867CF">
              <w:rPr>
                <w:sz w:val="24"/>
              </w:rPr>
              <w:t xml:space="preserve">. </w:t>
            </w:r>
            <w:proofErr w:type="spellStart"/>
            <w:r w:rsidRPr="005867CF">
              <w:rPr>
                <w:sz w:val="24"/>
              </w:rPr>
              <w:t>Mae'r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derbyniwr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gweithio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dorri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rhwystrau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hyrwyddo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tegwch</w:t>
            </w:r>
            <w:proofErr w:type="spellEnd"/>
            <w:r w:rsidRPr="005867CF">
              <w:rPr>
                <w:sz w:val="24"/>
              </w:rPr>
              <w:t xml:space="preserve">, a </w:t>
            </w:r>
            <w:proofErr w:type="spellStart"/>
            <w:r w:rsidRPr="005867CF">
              <w:rPr>
                <w:sz w:val="24"/>
              </w:rPr>
              <w:t>chreu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amgylchedd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croesawgar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bawb</w:t>
            </w:r>
            <w:proofErr w:type="spellEnd"/>
            <w:r w:rsidRPr="005867CF">
              <w:rPr>
                <w:sz w:val="24"/>
              </w:rPr>
              <w:t xml:space="preserve">. Gallai </w:t>
            </w:r>
            <w:proofErr w:type="spellStart"/>
            <w:r w:rsidRPr="005867CF">
              <w:rPr>
                <w:sz w:val="24"/>
              </w:rPr>
              <w:t>hyn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gynnwys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cefnogi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cyd-ddisgyblion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niwroamrywiol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meithrin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teimlad</w:t>
            </w:r>
            <w:proofErr w:type="spellEnd"/>
            <w:r w:rsidRPr="005867CF">
              <w:rPr>
                <w:sz w:val="24"/>
              </w:rPr>
              <w:t xml:space="preserve"> o </w:t>
            </w:r>
            <w:proofErr w:type="spellStart"/>
            <w:r w:rsidRPr="005867CF">
              <w:rPr>
                <w:sz w:val="24"/>
              </w:rPr>
              <w:t>berthyn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ymhlith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lastRenderedPageBreak/>
              <w:t>myfyrwyr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rhyngwladol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grymuso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grwpiau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rhyddid</w:t>
            </w:r>
            <w:proofErr w:type="spellEnd"/>
            <w:r w:rsidRPr="005867CF">
              <w:rPr>
                <w:sz w:val="24"/>
              </w:rPr>
              <w:t xml:space="preserve">, neu </w:t>
            </w:r>
            <w:proofErr w:type="spellStart"/>
            <w:r w:rsidRPr="005867CF">
              <w:rPr>
                <w:sz w:val="24"/>
              </w:rPr>
              <w:t>arwain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gweithredoedd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eraill</w:t>
            </w:r>
            <w:proofErr w:type="spellEnd"/>
            <w:r w:rsidRPr="005867CF">
              <w:rPr>
                <w:sz w:val="24"/>
              </w:rPr>
              <w:t xml:space="preserve"> o </w:t>
            </w:r>
            <w:proofErr w:type="spellStart"/>
            <w:r w:rsidRPr="005867CF">
              <w:rPr>
                <w:sz w:val="24"/>
              </w:rPr>
              <w:t>eiriolaeth</w:t>
            </w:r>
            <w:proofErr w:type="spellEnd"/>
            <w:r w:rsidRPr="005867CF">
              <w:rPr>
                <w:sz w:val="24"/>
              </w:rPr>
              <w:t xml:space="preserve"> a </w:t>
            </w:r>
            <w:proofErr w:type="spellStart"/>
            <w:r w:rsidRPr="005867CF">
              <w:rPr>
                <w:sz w:val="24"/>
              </w:rPr>
              <w:t>chefnogaeth</w:t>
            </w:r>
            <w:proofErr w:type="spellEnd"/>
            <w:r w:rsidRPr="005867CF">
              <w:rPr>
                <w:sz w:val="24"/>
              </w:rPr>
              <w:t xml:space="preserve">. </w:t>
            </w:r>
            <w:proofErr w:type="spellStart"/>
            <w:r w:rsidRPr="005867CF">
              <w:rPr>
                <w:sz w:val="24"/>
              </w:rPr>
              <w:t>P'un</w:t>
            </w:r>
            <w:proofErr w:type="spellEnd"/>
            <w:r w:rsidRPr="005867CF">
              <w:rPr>
                <w:sz w:val="24"/>
              </w:rPr>
              <w:t xml:space="preserve"> ai </w:t>
            </w:r>
            <w:proofErr w:type="spellStart"/>
            <w:r w:rsidRPr="005867CF">
              <w:rPr>
                <w:sz w:val="24"/>
              </w:rPr>
              <w:t>drwy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ddigwyddiadau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ymgyrchoedd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mentrau</w:t>
            </w:r>
            <w:proofErr w:type="spellEnd"/>
            <w:r w:rsidRPr="005867CF">
              <w:rPr>
                <w:sz w:val="24"/>
              </w:rPr>
              <w:t xml:space="preserve">, neu </w:t>
            </w:r>
            <w:proofErr w:type="spellStart"/>
            <w:r w:rsidRPr="005867CF">
              <w:rPr>
                <w:sz w:val="24"/>
              </w:rPr>
              <w:t>weithredoedd</w:t>
            </w:r>
            <w:proofErr w:type="spellEnd"/>
            <w:r w:rsidRPr="005867CF">
              <w:rPr>
                <w:sz w:val="24"/>
              </w:rPr>
              <w:t xml:space="preserve"> bob </w:t>
            </w:r>
            <w:proofErr w:type="spellStart"/>
            <w:r w:rsidRPr="005867CF">
              <w:rPr>
                <w:sz w:val="24"/>
              </w:rPr>
              <w:t>dydd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mae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eu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hymdrechion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sicrhau</w:t>
            </w:r>
            <w:proofErr w:type="spellEnd"/>
            <w:r w:rsidRPr="005867CF">
              <w:rPr>
                <w:sz w:val="24"/>
              </w:rPr>
              <w:t xml:space="preserve"> bod </w:t>
            </w:r>
            <w:proofErr w:type="spellStart"/>
            <w:r w:rsidRPr="005867CF">
              <w:rPr>
                <w:sz w:val="24"/>
              </w:rPr>
              <w:t>gan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bawb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gyfle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i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ffynnu'n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academaidd</w:t>
            </w:r>
            <w:proofErr w:type="spellEnd"/>
            <w:r w:rsidRPr="005867CF">
              <w:rPr>
                <w:sz w:val="24"/>
              </w:rPr>
              <w:t xml:space="preserve">,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gymdeithasol</w:t>
            </w:r>
            <w:proofErr w:type="spellEnd"/>
            <w:r w:rsidRPr="005867CF">
              <w:rPr>
                <w:sz w:val="24"/>
              </w:rPr>
              <w:t xml:space="preserve"> ac </w:t>
            </w:r>
            <w:proofErr w:type="spellStart"/>
            <w:r w:rsidRPr="005867CF">
              <w:rPr>
                <w:sz w:val="24"/>
              </w:rPr>
              <w:t>yn</w:t>
            </w:r>
            <w:proofErr w:type="spellEnd"/>
            <w:r w:rsidRPr="005867CF">
              <w:rPr>
                <w:sz w:val="24"/>
              </w:rPr>
              <w:t xml:space="preserve"> </w:t>
            </w:r>
            <w:proofErr w:type="spellStart"/>
            <w:r w:rsidRPr="005867CF">
              <w:rPr>
                <w:sz w:val="24"/>
              </w:rPr>
              <w:t>ddiwylliannol</w:t>
            </w:r>
            <w:proofErr w:type="spellEnd"/>
            <w:r w:rsidRPr="005867CF">
              <w:rPr>
                <w:sz w:val="24"/>
              </w:rPr>
              <w:t xml:space="preserve">. </w:t>
            </w:r>
          </w:p>
          <w:p w14:paraId="3BB65138" w14:textId="310963E0" w:rsidR="00F506E3" w:rsidRPr="005867CF" w:rsidRDefault="005867CF" w:rsidP="005867CF">
            <w:pPr>
              <w:pStyle w:val="TableParagraph"/>
              <w:spacing w:line="259" w:lineRule="auto"/>
              <w:ind w:right="103"/>
              <w:jc w:val="both"/>
              <w:rPr>
                <w:sz w:val="24"/>
              </w:rPr>
            </w:pPr>
            <w:r w:rsidRPr="005867CF">
              <w:rPr>
                <w:b/>
                <w:bCs/>
                <w:sz w:val="24"/>
              </w:rPr>
              <w:t xml:space="preserve">Gall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enwebu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myfyrwyr</w:t>
            </w:r>
            <w:proofErr w:type="spellEnd"/>
            <w:r w:rsidRPr="005867CF">
              <w:rPr>
                <w:b/>
                <w:bCs/>
                <w:sz w:val="24"/>
              </w:rPr>
              <w:t xml:space="preserve"> neu staff </w:t>
            </w:r>
            <w:proofErr w:type="spellStart"/>
            <w:r w:rsidRPr="005867CF">
              <w:rPr>
                <w:b/>
                <w:bCs/>
                <w:sz w:val="24"/>
              </w:rPr>
              <w:t>ar</w:t>
            </w:r>
            <w:proofErr w:type="spellEnd"/>
            <w:r w:rsidRPr="005867CF">
              <w:rPr>
                <w:b/>
                <w:bCs/>
                <w:sz w:val="24"/>
              </w:rPr>
              <w:t xml:space="preserve"> </w:t>
            </w:r>
            <w:proofErr w:type="spellStart"/>
            <w:r w:rsidRPr="005867CF">
              <w:rPr>
                <w:b/>
                <w:bCs/>
                <w:sz w:val="24"/>
              </w:rPr>
              <w:t>gyfer</w:t>
            </w:r>
            <w:proofErr w:type="spellEnd"/>
            <w:r w:rsidRPr="005867CF">
              <w:rPr>
                <w:b/>
                <w:bCs/>
                <w:sz w:val="24"/>
              </w:rPr>
              <w:t xml:space="preserve"> y </w:t>
            </w:r>
            <w:proofErr w:type="spellStart"/>
            <w:r w:rsidRPr="005867CF">
              <w:rPr>
                <w:b/>
                <w:bCs/>
                <w:sz w:val="24"/>
              </w:rPr>
              <w:t>wobr</w:t>
            </w:r>
            <w:proofErr w:type="spellEnd"/>
            <w:r w:rsidRPr="005867CF">
              <w:rPr>
                <w:b/>
                <w:bCs/>
                <w:sz w:val="24"/>
              </w:rPr>
              <w:t xml:space="preserve"> hon.</w:t>
            </w:r>
          </w:p>
        </w:tc>
      </w:tr>
    </w:tbl>
    <w:p w14:paraId="3020F4AD" w14:textId="77777777" w:rsidR="00F506E3" w:rsidRDefault="009F5151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506944" behindDoc="1" locked="0" layoutInCell="1" allowOverlap="1" wp14:anchorId="4B3794D4" wp14:editId="2E5565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A0198" id="Graphic 3" o:spid="_x0000_s1026" style="position:absolute;margin-left:0;margin-top:0;width:595.45pt;height:842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" path="m7562215,l,,,10694035r7562215,l7562215,xe" fillcolor="#f1f1f1" stroked="f">
                <v:path arrowok="t"/>
                <w10:wrap anchorx="page" anchory="page"/>
              </v:shape>
            </w:pict>
          </mc:Fallback>
        </mc:AlternateContent>
      </w:r>
    </w:p>
    <w:sectPr w:rsidR="00F506E3">
      <w:type w:val="continuous"/>
      <w:pgSz w:w="1191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06E3"/>
    <w:rsid w:val="00356F71"/>
    <w:rsid w:val="003E41FB"/>
    <w:rsid w:val="005867CF"/>
    <w:rsid w:val="006D3B93"/>
    <w:rsid w:val="009F5151"/>
    <w:rsid w:val="00F25141"/>
    <w:rsid w:val="00F506E3"/>
    <w:rsid w:val="00F6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A34ED"/>
  <w15:docId w15:val="{C3B1C540-7749-4959-8534-7EF71D72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Goodwin [alg51]</dc:creator>
  <cp:lastModifiedBy>Arewa Zakir Ali [arz1] (UM/SU)</cp:lastModifiedBy>
  <cp:revision>5</cp:revision>
  <dcterms:created xsi:type="dcterms:W3CDTF">2025-10-30T16:46:00Z</dcterms:created>
  <dcterms:modified xsi:type="dcterms:W3CDTF">2026-01-13T15:43:00Z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2025-10-30T00:00:00Z</vt:filetime>
  </property>
  <property fmtid="{D5CDD505-2E9C-101B-9397-08002B2CF9AE}" pid="5" name="MSIP_Label_f2dfecbd-fc97-4e8a-a9cd-19ed496c406e_ActionId">
    <vt:lpwstr>b7090e94-a999-4a2a-82fb-be258bbf233c</vt:lpwstr>
  </property>
  <property fmtid="{D5CDD505-2E9C-101B-9397-08002B2CF9AE}" pid="6" name="MSIP_Label_f2dfecbd-fc97-4e8a-a9cd-19ed496c406e_ContentBits">
    <vt:lpwstr>0</vt:lpwstr>
  </property>
  <property fmtid="{D5CDD505-2E9C-101B-9397-08002B2CF9AE}" pid="7" name="MSIP_Label_f2dfecbd-fc97-4e8a-a9cd-19ed496c406e_Enabled">
    <vt:lpwstr>true</vt:lpwstr>
  </property>
  <property fmtid="{D5CDD505-2E9C-101B-9397-08002B2CF9AE}" pid="8" name="MSIP_Label_f2dfecbd-fc97-4e8a-a9cd-19ed496c406e_Method">
    <vt:lpwstr>Standard</vt:lpwstr>
  </property>
  <property fmtid="{D5CDD505-2E9C-101B-9397-08002B2CF9AE}" pid="9" name="MSIP_Label_f2dfecbd-fc97-4e8a-a9cd-19ed496c406e_Name">
    <vt:lpwstr>defa4170-0d19-0005-0004-bc88714345d2</vt:lpwstr>
  </property>
  <property fmtid="{D5CDD505-2E9C-101B-9397-08002B2CF9AE}" pid="10" name="MSIP_Label_f2dfecbd-fc97-4e8a-a9cd-19ed496c406e_SetDate">
    <vt:lpwstr>2024-01-11T11:27:19Z</vt:lpwstr>
  </property>
  <property fmtid="{D5CDD505-2E9C-101B-9397-08002B2CF9AE}" pid="11" name="MSIP_Label_f2dfecbd-fc97-4e8a-a9cd-19ed496c406e_SiteId">
    <vt:lpwstr>d47b090e-3f5a-4ca0-84d0-9f89d269f175</vt:lpwstr>
  </property>
  <property fmtid="{D5CDD505-2E9C-101B-9397-08002B2CF9AE}" pid="12" name="Producer">
    <vt:lpwstr>Microsoft® Word for Microsoft 365</vt:lpwstr>
  </property>
</Properties>
</file>